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AABA" w14:textId="77777777" w:rsidR="00203F7F" w:rsidRDefault="00203F7F" w:rsidP="00203F7F">
      <w:pPr>
        <w:spacing w:after="115" w:line="360" w:lineRule="auto"/>
      </w:pPr>
    </w:p>
    <w:p w14:paraId="62159363" w14:textId="268CC536" w:rsidR="00203F7F" w:rsidRPr="00DF4D62" w:rsidRDefault="00203F7F" w:rsidP="00DF4D62">
      <w:pPr>
        <w:spacing w:after="117" w:line="360" w:lineRule="auto"/>
      </w:pPr>
      <w:r>
        <w:t xml:space="preserve"> </w:t>
      </w:r>
      <w:r w:rsidRPr="00203F7F">
        <w:rPr>
          <w:color w:val="0A2860"/>
          <w:sz w:val="44"/>
          <w:szCs w:val="18"/>
        </w:rPr>
        <w:t>Muster-Dienstanweisung</w:t>
      </w:r>
    </w:p>
    <w:p w14:paraId="47E7B7D3" w14:textId="77777777" w:rsidR="00203F7F" w:rsidRDefault="00203F7F" w:rsidP="00203F7F">
      <w:pPr>
        <w:spacing w:after="0" w:line="360" w:lineRule="auto"/>
        <w:ind w:left="-5" w:hanging="10"/>
        <w:rPr>
          <w:color w:val="0A2860"/>
          <w:sz w:val="44"/>
          <w:szCs w:val="18"/>
        </w:rPr>
      </w:pPr>
      <w:r w:rsidRPr="00203F7F">
        <w:rPr>
          <w:color w:val="0A2860"/>
          <w:sz w:val="44"/>
          <w:szCs w:val="18"/>
        </w:rPr>
        <w:t xml:space="preserve">Dokumentenmanagementsystem </w:t>
      </w:r>
    </w:p>
    <w:p w14:paraId="70C415D4" w14:textId="1827BF6F" w:rsidR="00203F7F" w:rsidRPr="00203F7F" w:rsidRDefault="00203F7F" w:rsidP="00203F7F">
      <w:pPr>
        <w:spacing w:after="0" w:line="360" w:lineRule="auto"/>
        <w:rPr>
          <w:color w:val="0A2860"/>
          <w:sz w:val="18"/>
          <w:szCs w:val="18"/>
        </w:rPr>
      </w:pPr>
      <w:r>
        <w:rPr>
          <w:color w:val="0A2860"/>
          <w:sz w:val="44"/>
          <w:szCs w:val="18"/>
        </w:rPr>
        <w:t xml:space="preserve">für </w:t>
      </w:r>
      <w:r w:rsidRPr="00203F7F">
        <w:rPr>
          <w:color w:val="0A2860"/>
          <w:sz w:val="44"/>
          <w:szCs w:val="18"/>
        </w:rPr>
        <w:t>Gemeinde</w:t>
      </w:r>
      <w:r>
        <w:rPr>
          <w:color w:val="0A2860"/>
          <w:sz w:val="44"/>
          <w:szCs w:val="18"/>
        </w:rPr>
        <w:t>n</w:t>
      </w:r>
    </w:p>
    <w:p w14:paraId="2D865031" w14:textId="6F9549B6" w:rsidR="00203F7F" w:rsidRDefault="00203F7F" w:rsidP="00203F7F">
      <w:pPr>
        <w:spacing w:after="282" w:line="360" w:lineRule="auto"/>
        <w:ind w:left="-29" w:right="-1059"/>
      </w:pPr>
      <w:r>
        <w:rPr>
          <w:noProof/>
        </w:rPr>
        <mc:AlternateContent>
          <mc:Choice Requires="wpg">
            <w:drawing>
              <wp:inline distT="0" distB="0" distL="0" distR="0" wp14:anchorId="7B476B94" wp14:editId="27910118">
                <wp:extent cx="5615940" cy="12065"/>
                <wp:effectExtent l="0" t="0" r="22860" b="26035"/>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065"/>
                          <a:chOff x="0" y="0"/>
                          <a:chExt cx="56159" cy="121"/>
                        </a:xfrm>
                      </wpg:grpSpPr>
                      <wps:wsp>
                        <wps:cNvPr id="6" name="Shape 15030"/>
                        <wps:cNvSpPr>
                          <a:spLocks/>
                        </wps:cNvSpPr>
                        <wps:spPr bwMode="auto">
                          <a:xfrm>
                            <a:off x="0" y="0"/>
                            <a:ext cx="56159" cy="121"/>
                          </a:xfrm>
                          <a:custGeom>
                            <a:avLst/>
                            <a:gdLst>
                              <a:gd name="T0" fmla="*/ 0 w 5615940"/>
                              <a:gd name="T1" fmla="*/ 0 h 12192"/>
                              <a:gd name="T2" fmla="*/ 5615940 w 5615940"/>
                              <a:gd name="T3" fmla="*/ 0 h 12192"/>
                              <a:gd name="T4" fmla="*/ 5615940 w 5615940"/>
                              <a:gd name="T5" fmla="*/ 12192 h 12192"/>
                              <a:gd name="T6" fmla="*/ 0 w 5615940"/>
                              <a:gd name="T7" fmla="*/ 12192 h 12192"/>
                              <a:gd name="T8" fmla="*/ 0 w 5615940"/>
                              <a:gd name="T9" fmla="*/ 0 h 12192"/>
                              <a:gd name="T10" fmla="*/ 0 w 5615940"/>
                              <a:gd name="T11" fmla="*/ 0 h 12192"/>
                              <a:gd name="T12" fmla="*/ 5615940 w 5615940"/>
                              <a:gd name="T13" fmla="*/ 12192 h 12192"/>
                            </a:gdLst>
                            <a:ahLst/>
                            <a:cxnLst>
                              <a:cxn ang="0">
                                <a:pos x="T0" y="T1"/>
                              </a:cxn>
                              <a:cxn ang="0">
                                <a:pos x="T2" y="T3"/>
                              </a:cxn>
                              <a:cxn ang="0">
                                <a:pos x="T4" y="T5"/>
                              </a:cxn>
                              <a:cxn ang="0">
                                <a:pos x="T6" y="T7"/>
                              </a:cxn>
                              <a:cxn ang="0">
                                <a:pos x="T8" y="T9"/>
                              </a:cxn>
                            </a:cxnLst>
                            <a:rect l="T10" t="T11" r="T12" b="T13"/>
                            <a:pathLst>
                              <a:path w="5615940" h="12192">
                                <a:moveTo>
                                  <a:pt x="0" y="0"/>
                                </a:moveTo>
                                <a:lnTo>
                                  <a:pt x="5615940" y="0"/>
                                </a:lnTo>
                                <a:lnTo>
                                  <a:pt x="5615940" y="12192"/>
                                </a:lnTo>
                                <a:lnTo>
                                  <a:pt x="0" y="12192"/>
                                </a:lnTo>
                                <a:lnTo>
                                  <a:pt x="0" y="0"/>
                                </a:lnTo>
                              </a:path>
                            </a:pathLst>
                          </a:custGeom>
                          <a:solidFill>
                            <a:srgbClr val="4F81BC"/>
                          </a:solidFill>
                          <a:ln w="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w:pict>
              <v:group w14:anchorId="36841303" id="Gruppieren 4" o:spid="_x0000_s1026" style="width:442.2pt;height:.95pt;mso-position-horizontal-relative:char;mso-position-vertical-relative:line" coordsize="5615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ycYQMAAMAJAAAOAAAAZHJzL2Uyb0RvYy54bWykVm1P2zAQ/j5p/8HKx0kjcWkpjUjRBgNN&#10;YhsS3Q9wHedFS+zMdpuyX787JykuUNYBH4Lde3y+e+7NZ+ebuiJroU2pZBLQoyggQnKVljJPgp+L&#10;q4+nATGWyZRVSookuBcmOJ+/f3fWNrEYqUJVqdAElEgTt00SFNY2cRgaXoiamSPVCAnCTOmaWdjq&#10;PEw1a0F7XYWjKDoJW6XTRisujIFfLzthMHf6s0xw+yPLjLCkSgKwzbqvdt8lfsP5GYtzzZqi5L0Z&#10;7BVW1KyUcOlW1SWzjKx0+URVXXKtjMrsEVd1qLKs5ML5AN7Q6JE311qtGudLHrd5s6UJqH3E06vV&#10;8u/ra93cNbe6sx6WN4r/MsBL2DZ57Mtxn3dgsmy/qRTiyVZWOcc3ma5RBbhENo7f+y2/YmMJhx8n&#10;J3QyG0MYOMjoKDqZdPzzAoL05BQvvvjnhlMUz4Qs7i50RvZGYdAhi8wDUeZtRN0VrBGOf4NE3GpS&#10;pklwEhDJavDdiQmdRMcuj/ByQA1cGp9IT4IwA3y/gcLnqWAxXxl7LZSLA1vfGNtldworF920N3wB&#10;IcjqChL9Q0gi0pIhMD1+gNEdWEHoiM5GfclsdY08UK9nv8ZjDxyRPRrHHuifGice2Nm3TyuE7RCf&#10;px7sRX3Q2A7RN9uB7fGYHhqQgyJC/ysk1I/JE4+h0PIhf1gxpBTfyD6nYEUY9vrIdYFGGaxjTDAo&#10;8cVQq4DCBNwDBnMRfNwX9stgSA4Eu84Bxr0MhpgjeHqQZggogmc+uLuh91XDNME5ssBwwSRZUAgH&#10;zJIFEg7TZAFUugpqmEWq0GVcktZrfQV2PiwjlNZqLRbK4eyj/gc3P0gr6aOGakVzXecB7IAY/jdO&#10;n4/sbgX79qK7oB2K270ZlKKrTvvWffjRb0lGVWV6VVYVOmx0vryoNFkzYHR8dUo/X/TE78Aqiex1&#10;ybUj2Dkfub/nztelhfdFVdZI+xRgXYQKwdIvMnXRsqysurVjxg2+rkV3A2Wp0nto11p1jwd47MCi&#10;UPpPQFp4OCSB+b1iWgSk+iph4MzoGEecdZvxZDqCjfYlS1/CJAdVSWADKCNcXljYwZFVo8u8gJuo&#10;yxSpPsGkzUps6TDzTNxZ1W9g5rmVeybAaucd4u8d6uHhNf8LAAD//wMAUEsDBBQABgAIAAAAIQAy&#10;BU7t2wAAAAMBAAAPAAAAZHJzL2Rvd25yZXYueG1sTI9BS8NAEIXvgv9hGcGb3USrpGk2pRT1VARb&#10;QbxNk2kSmp0N2W2S/ntHL3p5MLzHe99kq8m2aqDeN44NxLMIFHHhyoYrAx/7l7sElA/IJbaOycCF&#10;PKzy66sM09KN/E7DLlRKStinaKAOoUu19kVNFv3MdcTiHV1vMcjZV7rscZRy2+r7KHrSFhuWhRo7&#10;2tRUnHZna+B1xHH9ED8P29Nxc/naP759bmMy5vZmWi9BBZrCXxh+8AUdcmE6uDOXXrUG5JHwq+Il&#10;yXwO6iChBeg80//Z828AAAD//wMAUEsBAi0AFAAGAAgAAAAhALaDOJL+AAAA4QEAABMAAAAAAAAA&#10;AAAAAAAAAAAAAFtDb250ZW50X1R5cGVzXS54bWxQSwECLQAUAAYACAAAACEAOP0h/9YAAACUAQAA&#10;CwAAAAAAAAAAAAAAAAAvAQAAX3JlbHMvLnJlbHNQSwECLQAUAAYACAAAACEAmIQsnGEDAADACQAA&#10;DgAAAAAAAAAAAAAAAAAuAgAAZHJzL2Uyb0RvYy54bWxQSwECLQAUAAYACAAAACEAMgVO7dsAAAAD&#10;AQAADwAAAAAAAAAAAAAAAAC7BQAAZHJzL2Rvd25yZXYueG1sUEsFBgAAAAAEAAQA8wAAAMMGAAAA&#10;AA==&#10;">
                <v:shape id="Shape 15030" o:spid="_x0000_s1027" style="position:absolute;width:56159;height:121;visibility:visible;mso-wrap-style:square;v-text-anchor:top" coordsize="56159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v9xAAAANoAAAAPAAAAZHJzL2Rvd25yZXYueG1sRI/NasMw&#10;EITvhbyD2EAuJpGbQyhulNCGGHKoCY37AIu1sY2tlbFU/+Tpq0Khx2FmvmH2x8m0YqDe1ZYVPG9i&#10;EMSF1TWXCr7ydP0Cwnlkja1lUjCTg+Nh8bTHRNuRP2m4+VIECLsEFVTed4mUrqjIoNvYjjh4d9sb&#10;9EH2pdQ9jgFuWrmN4500WHNYqLCjU0VFc/s2Ct4bvGZNZKMxumZzfM5znX48lFotp7dXEJ4m/x/+&#10;a1+0gh38Xgk3QB5+AAAA//8DAFBLAQItABQABgAIAAAAIQDb4fbL7gAAAIUBAAATAAAAAAAAAAAA&#10;AAAAAAAAAABbQ29udGVudF9UeXBlc10ueG1sUEsBAi0AFAAGAAgAAAAhAFr0LFu/AAAAFQEAAAsA&#10;AAAAAAAAAAAAAAAAHwEAAF9yZWxzLy5yZWxzUEsBAi0AFAAGAAgAAAAhANWBG/3EAAAA2gAAAA8A&#10;AAAAAAAAAAAAAAAABwIAAGRycy9kb3ducmV2LnhtbFBLBQYAAAAAAwADALcAAAD4AgAAAAA=&#10;" path="m,l5615940,r,12192l,12192,,e" fillcolor="#4f81bc" strokeweight="0">
                  <v:stroke miterlimit="83231f" joinstyle="miter"/>
                  <v:path arrowok="t" o:connecttype="custom" o:connectlocs="0,0;56159,0;56159,121;0,121;0,0" o:connectangles="0,0,0,0,0" textboxrect="0,0,5615940,12192"/>
                </v:shape>
                <w10:anchorlock/>
              </v:group>
            </w:pict>
          </mc:Fallback>
        </mc:AlternateContent>
      </w:r>
    </w:p>
    <w:p w14:paraId="0B231ABF" w14:textId="77777777" w:rsidR="00203F7F" w:rsidRDefault="00203F7F" w:rsidP="00203F7F">
      <w:pPr>
        <w:shd w:val="clear" w:color="auto" w:fill="FFFFFF" w:themeFill="background1"/>
        <w:spacing w:line="360" w:lineRule="auto"/>
      </w:pPr>
    </w:p>
    <w:p w14:paraId="00E3CA64" w14:textId="1AFD86A5" w:rsidR="00203F7F" w:rsidRPr="00C41FB4" w:rsidRDefault="00203F7F" w:rsidP="00203F7F">
      <w:pPr>
        <w:shd w:val="clear" w:color="auto" w:fill="FFFFFF" w:themeFill="background1"/>
        <w:spacing w:line="360" w:lineRule="auto"/>
        <w:rPr>
          <w:b/>
          <w:bCs/>
          <w:color w:val="0A2860"/>
        </w:rPr>
      </w:pPr>
      <w:r>
        <w:t xml:space="preserve"> </w:t>
      </w:r>
      <w:r w:rsidRPr="0068611C">
        <w:rPr>
          <w:b/>
          <w:bCs/>
          <w:color w:val="0A2860"/>
          <w:sz w:val="24"/>
          <w:szCs w:val="24"/>
        </w:rPr>
        <w:t>Dienstanweisung für Gemeinden</w:t>
      </w:r>
    </w:p>
    <w:p w14:paraId="3DD81B8C" w14:textId="77777777" w:rsidR="00203F7F" w:rsidRPr="00C41FB4" w:rsidRDefault="00203F7F" w:rsidP="00203F7F">
      <w:pPr>
        <w:pStyle w:val="Listenabsatz"/>
        <w:numPr>
          <w:ilvl w:val="0"/>
          <w:numId w:val="9"/>
        </w:numPr>
        <w:shd w:val="clear" w:color="auto" w:fill="FFFFFF" w:themeFill="background1"/>
        <w:spacing w:line="360" w:lineRule="auto"/>
      </w:pPr>
      <w:bookmarkStart w:id="0" w:name="_Toc16170199"/>
      <w:bookmarkStart w:id="1" w:name="_Toc16170213"/>
      <w:r w:rsidRPr="00C41FB4">
        <w:t>zur rechtssicheren Dateiablage,</w:t>
      </w:r>
      <w:bookmarkEnd w:id="0"/>
      <w:bookmarkEnd w:id="1"/>
    </w:p>
    <w:p w14:paraId="26A58CB3" w14:textId="77777777" w:rsidR="00203F7F" w:rsidRPr="00C41FB4" w:rsidRDefault="00203F7F" w:rsidP="00203F7F">
      <w:pPr>
        <w:pStyle w:val="Listenabsatz"/>
        <w:numPr>
          <w:ilvl w:val="0"/>
          <w:numId w:val="9"/>
        </w:numPr>
        <w:shd w:val="clear" w:color="auto" w:fill="FFFFFF" w:themeFill="background1"/>
        <w:spacing w:line="360" w:lineRule="auto"/>
      </w:pPr>
      <w:bookmarkStart w:id="2" w:name="_Toc16170200"/>
      <w:bookmarkStart w:id="3" w:name="_Toc16170214"/>
      <w:r w:rsidRPr="00C41FB4">
        <w:t>zur Kennzeichnung von Schriftstücken,</w:t>
      </w:r>
      <w:bookmarkEnd w:id="2"/>
      <w:bookmarkEnd w:id="3"/>
    </w:p>
    <w:p w14:paraId="38136EDE" w14:textId="77777777" w:rsidR="00203F7F" w:rsidRPr="00C41FB4" w:rsidRDefault="00203F7F" w:rsidP="00203F7F">
      <w:pPr>
        <w:pStyle w:val="Listenabsatz"/>
        <w:numPr>
          <w:ilvl w:val="0"/>
          <w:numId w:val="9"/>
        </w:numPr>
        <w:shd w:val="clear" w:color="auto" w:fill="FFFFFF" w:themeFill="background1"/>
        <w:spacing w:line="360" w:lineRule="auto"/>
      </w:pPr>
      <w:bookmarkStart w:id="4" w:name="_Toc16170201"/>
      <w:bookmarkStart w:id="5" w:name="_Toc16170215"/>
      <w:r w:rsidRPr="00C41FB4">
        <w:t>zum Datenschutz und</w:t>
      </w:r>
      <w:bookmarkEnd w:id="4"/>
      <w:bookmarkEnd w:id="5"/>
    </w:p>
    <w:p w14:paraId="04BF6ADD" w14:textId="2703A614" w:rsidR="00203F7F" w:rsidRDefault="00203F7F" w:rsidP="00853B9B">
      <w:pPr>
        <w:pStyle w:val="Listenabsatz"/>
        <w:numPr>
          <w:ilvl w:val="0"/>
          <w:numId w:val="9"/>
        </w:numPr>
        <w:shd w:val="clear" w:color="auto" w:fill="FFFFFF" w:themeFill="background1"/>
        <w:spacing w:line="360" w:lineRule="auto"/>
      </w:pPr>
      <w:bookmarkStart w:id="6" w:name="_Toc16170202"/>
      <w:bookmarkStart w:id="7" w:name="_Toc16170216"/>
      <w:r w:rsidRPr="00C41FB4">
        <w:t>zur datenschutzkonformen Papierverwertung</w:t>
      </w:r>
      <w:bookmarkEnd w:id="6"/>
      <w:bookmarkEnd w:id="7"/>
      <w:r w:rsidRPr="00C41FB4">
        <w:t>.</w:t>
      </w:r>
      <w:r>
        <w:br/>
      </w:r>
    </w:p>
    <w:p w14:paraId="3686A192" w14:textId="77777777" w:rsidR="00DF4D62" w:rsidRDefault="00DF4D62" w:rsidP="00203F7F">
      <w:pPr>
        <w:spacing w:after="117" w:line="360" w:lineRule="auto"/>
      </w:pPr>
    </w:p>
    <w:p w14:paraId="1C782180" w14:textId="1ED31353" w:rsidR="00203F7F" w:rsidRDefault="00203F7F">
      <w:pPr>
        <w:rPr>
          <w:rStyle w:val="Fett"/>
          <w:rFonts w:ascii="Verdana" w:hAnsi="Verdana"/>
          <w:b w:val="0"/>
          <w:i/>
          <w:iCs/>
          <w:color w:val="000000" w:themeColor="text1"/>
        </w:rPr>
      </w:pPr>
    </w:p>
    <w:p w14:paraId="4EBBE1C5" w14:textId="7A53D1D6" w:rsidR="00CB0C98" w:rsidRPr="00203F7F" w:rsidRDefault="00CB0C98" w:rsidP="00203F7F">
      <w:pPr>
        <w:spacing w:before="0" w:after="200"/>
        <w:rPr>
          <w:rFonts w:ascii="Verdana" w:hAnsi="Verdana"/>
          <w:bCs/>
          <w:i/>
          <w:iCs/>
          <w:color w:val="000000" w:themeColor="text1"/>
        </w:rPr>
      </w:pPr>
      <w:bookmarkStart w:id="8" w:name="_Toc16170198"/>
      <w:bookmarkStart w:id="9" w:name="_Toc16170212"/>
    </w:p>
    <w:p w14:paraId="4AD0F605" w14:textId="77777777" w:rsidR="00853B9B" w:rsidRDefault="00853B9B">
      <w:r>
        <w:br w:type="page"/>
      </w:r>
    </w:p>
    <w:tbl>
      <w:tblPr>
        <w:tblStyle w:val="Tabellenraster"/>
        <w:tblpPr w:leftFromText="141" w:rightFromText="141" w:vertAnchor="text" w:horzAnchor="margin" w:tblpXSpec="center" w:tblpY="-331"/>
        <w:tblW w:w="0" w:type="auto"/>
        <w:tblBorders>
          <w:top w:val="single" w:sz="4" w:space="0" w:color="0A2860"/>
          <w:left w:val="single" w:sz="4" w:space="0" w:color="0A2860"/>
          <w:bottom w:val="single" w:sz="4" w:space="0" w:color="0A2860"/>
          <w:right w:val="single" w:sz="4" w:space="0" w:color="0A2860"/>
          <w:insideH w:val="single" w:sz="4" w:space="0" w:color="0A2860"/>
          <w:insideV w:val="single" w:sz="4" w:space="0" w:color="0A2860"/>
        </w:tblBorders>
        <w:tblLook w:val="04A0" w:firstRow="1" w:lastRow="0" w:firstColumn="1" w:lastColumn="0" w:noHBand="0" w:noVBand="1"/>
      </w:tblPr>
      <w:tblGrid>
        <w:gridCol w:w="4441"/>
      </w:tblGrid>
      <w:tr w:rsidR="00DF4D62" w14:paraId="09A4C88F" w14:textId="77777777" w:rsidTr="00DF4D62">
        <w:trPr>
          <w:trHeight w:val="2739"/>
        </w:trPr>
        <w:tc>
          <w:tcPr>
            <w:tcW w:w="4441" w:type="dxa"/>
          </w:tcPr>
          <w:p w14:paraId="000EDD5A" w14:textId="191EB9F7" w:rsidR="00DF4D62" w:rsidRDefault="00DF4D62" w:rsidP="00DF4D62">
            <w:pPr>
              <w:jc w:val="center"/>
              <w:rPr>
                <w:rStyle w:val="Fett"/>
                <w:rFonts w:ascii="Verdana" w:hAnsi="Verdana"/>
                <w:b w:val="0"/>
                <w:i/>
                <w:iCs/>
                <w:color w:val="000000" w:themeColor="text1"/>
              </w:rPr>
            </w:pPr>
          </w:p>
          <w:p w14:paraId="554E8875" w14:textId="77777777" w:rsidR="00DF4D62" w:rsidRDefault="00DF4D62" w:rsidP="00DF4D62">
            <w:pPr>
              <w:jc w:val="center"/>
              <w:rPr>
                <w:rStyle w:val="Fett"/>
                <w:i/>
                <w:iCs/>
                <w:color w:val="000000" w:themeColor="text1"/>
              </w:rPr>
            </w:pPr>
          </w:p>
          <w:p w14:paraId="40D5C447" w14:textId="77777777" w:rsidR="00DF4D62" w:rsidRDefault="00DF4D62" w:rsidP="00DF4D62">
            <w:pPr>
              <w:jc w:val="center"/>
              <w:rPr>
                <w:rStyle w:val="Fett"/>
                <w:i/>
                <w:iCs/>
                <w:color w:val="000000" w:themeColor="text1"/>
              </w:rPr>
            </w:pPr>
          </w:p>
          <w:p w14:paraId="63D79BC0" w14:textId="77777777" w:rsidR="00DF4D62" w:rsidRDefault="00DF4D62" w:rsidP="00DF4D62">
            <w:pPr>
              <w:jc w:val="center"/>
              <w:rPr>
                <w:rStyle w:val="Fett"/>
                <w:i/>
                <w:iCs/>
                <w:color w:val="000000" w:themeColor="text1"/>
              </w:rPr>
            </w:pPr>
          </w:p>
          <w:p w14:paraId="617F0B49" w14:textId="77777777" w:rsidR="00DF4D62" w:rsidRDefault="00DF4D62" w:rsidP="00DF4D62">
            <w:pPr>
              <w:jc w:val="center"/>
              <w:rPr>
                <w:rStyle w:val="Fett"/>
                <w:i/>
                <w:iCs/>
                <w:color w:val="000000" w:themeColor="text1"/>
              </w:rPr>
            </w:pPr>
          </w:p>
          <w:p w14:paraId="61E0D6FE" w14:textId="77777777" w:rsidR="00DF4D62" w:rsidRPr="00E67131" w:rsidRDefault="00DF4D62" w:rsidP="00DF4D62">
            <w:pPr>
              <w:jc w:val="center"/>
              <w:rPr>
                <w:rStyle w:val="Fett"/>
                <w:rFonts w:ascii="Verdana" w:hAnsi="Verdana"/>
                <w:b w:val="0"/>
                <w:iCs/>
                <w:color w:val="000000" w:themeColor="text1"/>
              </w:rPr>
            </w:pPr>
            <w:r w:rsidRPr="00203F7F">
              <w:rPr>
                <w:rStyle w:val="Fett"/>
                <w:iCs/>
                <w:color w:val="0A2860"/>
                <w:sz w:val="24"/>
                <w:szCs w:val="24"/>
              </w:rPr>
              <w:t>Ihr Gemeindelogo</w:t>
            </w:r>
          </w:p>
        </w:tc>
      </w:tr>
    </w:tbl>
    <w:p w14:paraId="2A5546C8" w14:textId="77777777" w:rsidR="00CB0C98" w:rsidRDefault="00CB0C98" w:rsidP="0068611C">
      <w:pPr>
        <w:shd w:val="clear" w:color="auto" w:fill="FFFFFF" w:themeFill="background1"/>
        <w:spacing w:line="360" w:lineRule="auto"/>
        <w:rPr>
          <w:b/>
          <w:bCs/>
          <w:color w:val="0A2860"/>
          <w:sz w:val="24"/>
          <w:szCs w:val="24"/>
        </w:rPr>
      </w:pPr>
    </w:p>
    <w:p w14:paraId="55A53E1E" w14:textId="4B3E31E3" w:rsidR="00CB0C98" w:rsidRDefault="00CB0C98" w:rsidP="0068611C">
      <w:pPr>
        <w:shd w:val="clear" w:color="auto" w:fill="FFFFFF" w:themeFill="background1"/>
        <w:spacing w:line="360" w:lineRule="auto"/>
        <w:rPr>
          <w:b/>
          <w:bCs/>
          <w:color w:val="0A2860"/>
          <w:sz w:val="24"/>
          <w:szCs w:val="24"/>
        </w:rPr>
      </w:pPr>
    </w:p>
    <w:p w14:paraId="2C0CAA1B" w14:textId="3CC680F4" w:rsidR="00203F7F" w:rsidRDefault="00203F7F" w:rsidP="0068611C">
      <w:pPr>
        <w:shd w:val="clear" w:color="auto" w:fill="FFFFFF" w:themeFill="background1"/>
        <w:spacing w:line="360" w:lineRule="auto"/>
        <w:rPr>
          <w:b/>
          <w:bCs/>
          <w:color w:val="0A2860"/>
          <w:sz w:val="24"/>
          <w:szCs w:val="24"/>
        </w:rPr>
      </w:pPr>
    </w:p>
    <w:p w14:paraId="264DF559" w14:textId="5A7D5567" w:rsidR="00203F7F" w:rsidRDefault="00203F7F" w:rsidP="0068611C">
      <w:pPr>
        <w:shd w:val="clear" w:color="auto" w:fill="FFFFFF" w:themeFill="background1"/>
        <w:spacing w:line="360" w:lineRule="auto"/>
        <w:rPr>
          <w:b/>
          <w:bCs/>
          <w:color w:val="0A2860"/>
          <w:sz w:val="24"/>
          <w:szCs w:val="24"/>
        </w:rPr>
      </w:pPr>
    </w:p>
    <w:p w14:paraId="33173833" w14:textId="77777777" w:rsidR="00DF4D62" w:rsidRDefault="00DF4D62" w:rsidP="00DF4D62">
      <w:pPr>
        <w:shd w:val="clear" w:color="auto" w:fill="FFFFFF" w:themeFill="background1"/>
        <w:spacing w:line="360" w:lineRule="auto"/>
        <w:rPr>
          <w:b/>
          <w:bCs/>
          <w:color w:val="0A2860"/>
          <w:sz w:val="24"/>
          <w:szCs w:val="24"/>
        </w:rPr>
      </w:pPr>
    </w:p>
    <w:p w14:paraId="03B17E65" w14:textId="77777777" w:rsidR="00DF4D62" w:rsidRDefault="00DF4D62" w:rsidP="00DF4D62">
      <w:pPr>
        <w:shd w:val="clear" w:color="auto" w:fill="FFFFFF" w:themeFill="background1"/>
        <w:spacing w:line="360" w:lineRule="auto"/>
        <w:rPr>
          <w:b/>
          <w:bCs/>
          <w:color w:val="0A2860"/>
          <w:sz w:val="24"/>
          <w:szCs w:val="24"/>
        </w:rPr>
      </w:pPr>
    </w:p>
    <w:p w14:paraId="25B36241" w14:textId="17339CDB" w:rsidR="00203F7F" w:rsidRPr="00DF4D62" w:rsidRDefault="00DF4D62" w:rsidP="00DF4D62">
      <w:pPr>
        <w:shd w:val="clear" w:color="auto" w:fill="FFFFFF" w:themeFill="background1"/>
        <w:spacing w:line="360" w:lineRule="auto"/>
        <w:jc w:val="center"/>
        <w:rPr>
          <w:color w:val="0A2860"/>
          <w:sz w:val="44"/>
          <w:szCs w:val="44"/>
        </w:rPr>
      </w:pPr>
      <w:r w:rsidRPr="00DF4D62">
        <w:rPr>
          <w:color w:val="0A2860"/>
          <w:sz w:val="44"/>
          <w:szCs w:val="44"/>
        </w:rPr>
        <w:t>Dienstanweisung Dokumentenmanagementsystem</w:t>
      </w:r>
      <w:bookmarkEnd w:id="8"/>
      <w:bookmarkEnd w:id="9"/>
    </w:p>
    <w:p w14:paraId="71489F55" w14:textId="4D7B0DFC" w:rsidR="00203F7F" w:rsidRDefault="00203F7F" w:rsidP="00203F7F">
      <w:pPr>
        <w:pStyle w:val="Inhaltsverzeichnisberschrift"/>
        <w:rPr>
          <w:rFonts w:ascii="Verdana" w:eastAsiaTheme="minorHAnsi" w:hAnsi="Verdana" w:cstheme="minorBidi"/>
          <w:b w:val="0"/>
          <w:bCs w:val="0"/>
          <w:color w:val="auto"/>
          <w:sz w:val="22"/>
          <w:szCs w:val="22"/>
          <w:lang w:eastAsia="en-US"/>
        </w:rPr>
      </w:pPr>
    </w:p>
    <w:p w14:paraId="04D4532B" w14:textId="77777777" w:rsidR="00853B9B" w:rsidRPr="00853B9B" w:rsidRDefault="00853B9B" w:rsidP="00853B9B"/>
    <w:sdt>
      <w:sdtPr>
        <w:rPr>
          <w:rFonts w:ascii="Verdana" w:eastAsiaTheme="minorHAnsi" w:hAnsi="Verdana" w:cstheme="minorBidi"/>
          <w:b w:val="0"/>
          <w:bCs w:val="0"/>
          <w:color w:val="auto"/>
          <w:sz w:val="22"/>
          <w:szCs w:val="22"/>
          <w:lang w:eastAsia="en-US"/>
        </w:rPr>
        <w:id w:val="-485934184"/>
        <w:docPartObj>
          <w:docPartGallery w:val="Table of Contents"/>
          <w:docPartUnique/>
        </w:docPartObj>
      </w:sdtPr>
      <w:sdtContent>
        <w:p w14:paraId="3B0D0537" w14:textId="6DCD1FC4" w:rsidR="00203F7F" w:rsidRPr="00203F7F" w:rsidRDefault="001029F9" w:rsidP="00203F7F">
          <w:pPr>
            <w:pStyle w:val="Inhaltsverzeichnisberschrift"/>
          </w:pPr>
          <w:r w:rsidRPr="00C41FB4">
            <w:rPr>
              <w:rStyle w:val="berschrift1Zchn"/>
              <w:b/>
              <w:bCs/>
            </w:rPr>
            <w:t>Inhalt</w:t>
          </w:r>
        </w:p>
        <w:p w14:paraId="1F68E3EA" w14:textId="72956B82" w:rsidR="00853B9B" w:rsidRDefault="001029F9">
          <w:pPr>
            <w:pStyle w:val="Verzeichnis1"/>
            <w:tabs>
              <w:tab w:val="right" w:leader="dot" w:pos="9346"/>
            </w:tabs>
            <w:rPr>
              <w:rFonts w:asciiTheme="minorHAnsi" w:eastAsiaTheme="minorEastAsia" w:hAnsiTheme="minorHAnsi"/>
              <w:noProof/>
              <w:lang w:eastAsia="de-DE"/>
            </w:rPr>
          </w:pPr>
          <w:r w:rsidRPr="00C41FB4">
            <w:rPr>
              <w:rFonts w:cs="Arial"/>
            </w:rPr>
            <w:fldChar w:fldCharType="begin"/>
          </w:r>
          <w:r w:rsidRPr="00C41FB4">
            <w:rPr>
              <w:rFonts w:cs="Arial"/>
            </w:rPr>
            <w:instrText xml:space="preserve"> TOC \o "1-3" \h \z \u </w:instrText>
          </w:r>
          <w:r w:rsidRPr="00C41FB4">
            <w:rPr>
              <w:rFonts w:cs="Arial"/>
            </w:rPr>
            <w:fldChar w:fldCharType="separate"/>
          </w:r>
          <w:hyperlink w:anchor="_Toc143003954" w:history="1">
            <w:r w:rsidR="00853B9B" w:rsidRPr="0097294C">
              <w:rPr>
                <w:rStyle w:val="Hyperlink"/>
                <w:noProof/>
              </w:rPr>
              <w:t>Allgemeine Grundsätze</w:t>
            </w:r>
            <w:r w:rsidR="00853B9B">
              <w:rPr>
                <w:noProof/>
                <w:webHidden/>
              </w:rPr>
              <w:tab/>
            </w:r>
            <w:r w:rsidR="00853B9B">
              <w:rPr>
                <w:noProof/>
                <w:webHidden/>
              </w:rPr>
              <w:fldChar w:fldCharType="begin"/>
            </w:r>
            <w:r w:rsidR="00853B9B">
              <w:rPr>
                <w:noProof/>
                <w:webHidden/>
              </w:rPr>
              <w:instrText xml:space="preserve"> PAGEREF _Toc143003954 \h </w:instrText>
            </w:r>
            <w:r w:rsidR="00853B9B">
              <w:rPr>
                <w:noProof/>
                <w:webHidden/>
              </w:rPr>
            </w:r>
            <w:r w:rsidR="00853B9B">
              <w:rPr>
                <w:noProof/>
                <w:webHidden/>
              </w:rPr>
              <w:fldChar w:fldCharType="separate"/>
            </w:r>
            <w:r w:rsidR="00853B9B">
              <w:rPr>
                <w:noProof/>
                <w:webHidden/>
              </w:rPr>
              <w:t>3</w:t>
            </w:r>
            <w:r w:rsidR="00853B9B">
              <w:rPr>
                <w:noProof/>
                <w:webHidden/>
              </w:rPr>
              <w:fldChar w:fldCharType="end"/>
            </w:r>
          </w:hyperlink>
        </w:p>
        <w:p w14:paraId="15FC471A" w14:textId="2DCE2D30" w:rsidR="00853B9B" w:rsidRDefault="00000000">
          <w:pPr>
            <w:pStyle w:val="Verzeichnis1"/>
            <w:tabs>
              <w:tab w:val="right" w:leader="dot" w:pos="9346"/>
            </w:tabs>
            <w:rPr>
              <w:rFonts w:asciiTheme="minorHAnsi" w:eastAsiaTheme="minorEastAsia" w:hAnsiTheme="minorHAnsi"/>
              <w:noProof/>
              <w:lang w:eastAsia="de-DE"/>
            </w:rPr>
          </w:pPr>
          <w:hyperlink w:anchor="_Toc143003955" w:history="1">
            <w:r w:rsidR="00853B9B" w:rsidRPr="0097294C">
              <w:rPr>
                <w:rStyle w:val="Hyperlink"/>
                <w:noProof/>
              </w:rPr>
              <w:t>Grundlagen zu komXwork</w:t>
            </w:r>
            <w:r w:rsidR="00853B9B">
              <w:rPr>
                <w:noProof/>
                <w:webHidden/>
              </w:rPr>
              <w:tab/>
            </w:r>
            <w:r w:rsidR="00853B9B">
              <w:rPr>
                <w:noProof/>
                <w:webHidden/>
              </w:rPr>
              <w:fldChar w:fldCharType="begin"/>
            </w:r>
            <w:r w:rsidR="00853B9B">
              <w:rPr>
                <w:noProof/>
                <w:webHidden/>
              </w:rPr>
              <w:instrText xml:space="preserve"> PAGEREF _Toc143003955 \h </w:instrText>
            </w:r>
            <w:r w:rsidR="00853B9B">
              <w:rPr>
                <w:noProof/>
                <w:webHidden/>
              </w:rPr>
            </w:r>
            <w:r w:rsidR="00853B9B">
              <w:rPr>
                <w:noProof/>
                <w:webHidden/>
              </w:rPr>
              <w:fldChar w:fldCharType="separate"/>
            </w:r>
            <w:r w:rsidR="00853B9B">
              <w:rPr>
                <w:noProof/>
                <w:webHidden/>
              </w:rPr>
              <w:t>3</w:t>
            </w:r>
            <w:r w:rsidR="00853B9B">
              <w:rPr>
                <w:noProof/>
                <w:webHidden/>
              </w:rPr>
              <w:fldChar w:fldCharType="end"/>
            </w:r>
          </w:hyperlink>
        </w:p>
        <w:p w14:paraId="0A4061AD" w14:textId="66E33854" w:rsidR="00853B9B" w:rsidRDefault="00000000">
          <w:pPr>
            <w:pStyle w:val="Verzeichnis1"/>
            <w:tabs>
              <w:tab w:val="right" w:leader="dot" w:pos="9346"/>
            </w:tabs>
            <w:rPr>
              <w:rFonts w:asciiTheme="minorHAnsi" w:eastAsiaTheme="minorEastAsia" w:hAnsiTheme="minorHAnsi"/>
              <w:noProof/>
              <w:lang w:eastAsia="de-DE"/>
            </w:rPr>
          </w:pPr>
          <w:hyperlink w:anchor="_Toc143003956" w:history="1">
            <w:r w:rsidR="00853B9B" w:rsidRPr="0097294C">
              <w:rPr>
                <w:rStyle w:val="Hyperlink"/>
                <w:noProof/>
              </w:rPr>
              <w:t>Struktur / Ablage</w:t>
            </w:r>
            <w:r w:rsidR="00853B9B">
              <w:rPr>
                <w:noProof/>
                <w:webHidden/>
              </w:rPr>
              <w:tab/>
            </w:r>
            <w:r w:rsidR="00853B9B">
              <w:rPr>
                <w:noProof/>
                <w:webHidden/>
              </w:rPr>
              <w:fldChar w:fldCharType="begin"/>
            </w:r>
            <w:r w:rsidR="00853B9B">
              <w:rPr>
                <w:noProof/>
                <w:webHidden/>
              </w:rPr>
              <w:instrText xml:space="preserve"> PAGEREF _Toc143003956 \h </w:instrText>
            </w:r>
            <w:r w:rsidR="00853B9B">
              <w:rPr>
                <w:noProof/>
                <w:webHidden/>
              </w:rPr>
            </w:r>
            <w:r w:rsidR="00853B9B">
              <w:rPr>
                <w:noProof/>
                <w:webHidden/>
              </w:rPr>
              <w:fldChar w:fldCharType="separate"/>
            </w:r>
            <w:r w:rsidR="00853B9B">
              <w:rPr>
                <w:noProof/>
                <w:webHidden/>
              </w:rPr>
              <w:t>4</w:t>
            </w:r>
            <w:r w:rsidR="00853B9B">
              <w:rPr>
                <w:noProof/>
                <w:webHidden/>
              </w:rPr>
              <w:fldChar w:fldCharType="end"/>
            </w:r>
          </w:hyperlink>
        </w:p>
        <w:p w14:paraId="62EFEA49" w14:textId="4CDFDDE1" w:rsidR="00853B9B" w:rsidRDefault="00000000">
          <w:pPr>
            <w:pStyle w:val="Verzeichnis1"/>
            <w:tabs>
              <w:tab w:val="right" w:leader="dot" w:pos="9346"/>
            </w:tabs>
            <w:rPr>
              <w:rFonts w:asciiTheme="minorHAnsi" w:eastAsiaTheme="minorEastAsia" w:hAnsiTheme="minorHAnsi"/>
              <w:noProof/>
              <w:lang w:eastAsia="de-DE"/>
            </w:rPr>
          </w:pPr>
          <w:hyperlink w:anchor="_Toc143003957" w:history="1">
            <w:r w:rsidR="00853B9B" w:rsidRPr="0097294C">
              <w:rPr>
                <w:rStyle w:val="Hyperlink"/>
                <w:noProof/>
              </w:rPr>
              <w:t>Fachverfahren</w:t>
            </w:r>
            <w:r w:rsidR="00853B9B">
              <w:rPr>
                <w:noProof/>
                <w:webHidden/>
              </w:rPr>
              <w:tab/>
            </w:r>
            <w:r w:rsidR="00853B9B">
              <w:rPr>
                <w:noProof/>
                <w:webHidden/>
              </w:rPr>
              <w:fldChar w:fldCharType="begin"/>
            </w:r>
            <w:r w:rsidR="00853B9B">
              <w:rPr>
                <w:noProof/>
                <w:webHidden/>
              </w:rPr>
              <w:instrText xml:space="preserve"> PAGEREF _Toc143003957 \h </w:instrText>
            </w:r>
            <w:r w:rsidR="00853B9B">
              <w:rPr>
                <w:noProof/>
                <w:webHidden/>
              </w:rPr>
            </w:r>
            <w:r w:rsidR="00853B9B">
              <w:rPr>
                <w:noProof/>
                <w:webHidden/>
              </w:rPr>
              <w:fldChar w:fldCharType="separate"/>
            </w:r>
            <w:r w:rsidR="00853B9B">
              <w:rPr>
                <w:noProof/>
                <w:webHidden/>
              </w:rPr>
              <w:t>5</w:t>
            </w:r>
            <w:r w:rsidR="00853B9B">
              <w:rPr>
                <w:noProof/>
                <w:webHidden/>
              </w:rPr>
              <w:fldChar w:fldCharType="end"/>
            </w:r>
          </w:hyperlink>
        </w:p>
        <w:p w14:paraId="28FBD474" w14:textId="5939DEC4" w:rsidR="00853B9B" w:rsidRDefault="00000000">
          <w:pPr>
            <w:pStyle w:val="Verzeichnis1"/>
            <w:tabs>
              <w:tab w:val="right" w:leader="dot" w:pos="9346"/>
            </w:tabs>
            <w:rPr>
              <w:rFonts w:asciiTheme="minorHAnsi" w:eastAsiaTheme="minorEastAsia" w:hAnsiTheme="minorHAnsi"/>
              <w:noProof/>
              <w:lang w:eastAsia="de-DE"/>
            </w:rPr>
          </w:pPr>
          <w:hyperlink w:anchor="_Toc143003958" w:history="1">
            <w:r w:rsidR="00853B9B" w:rsidRPr="0097294C">
              <w:rPr>
                <w:rStyle w:val="Hyperlink"/>
                <w:noProof/>
              </w:rPr>
              <w:t>Verhalten bei Störungen</w:t>
            </w:r>
            <w:r w:rsidR="00853B9B">
              <w:rPr>
                <w:noProof/>
                <w:webHidden/>
              </w:rPr>
              <w:tab/>
            </w:r>
            <w:r w:rsidR="00853B9B">
              <w:rPr>
                <w:noProof/>
                <w:webHidden/>
              </w:rPr>
              <w:fldChar w:fldCharType="begin"/>
            </w:r>
            <w:r w:rsidR="00853B9B">
              <w:rPr>
                <w:noProof/>
                <w:webHidden/>
              </w:rPr>
              <w:instrText xml:space="preserve"> PAGEREF _Toc143003958 \h </w:instrText>
            </w:r>
            <w:r w:rsidR="00853B9B">
              <w:rPr>
                <w:noProof/>
                <w:webHidden/>
              </w:rPr>
            </w:r>
            <w:r w:rsidR="00853B9B">
              <w:rPr>
                <w:noProof/>
                <w:webHidden/>
              </w:rPr>
              <w:fldChar w:fldCharType="separate"/>
            </w:r>
            <w:r w:rsidR="00853B9B">
              <w:rPr>
                <w:noProof/>
                <w:webHidden/>
              </w:rPr>
              <w:t>5</w:t>
            </w:r>
            <w:r w:rsidR="00853B9B">
              <w:rPr>
                <w:noProof/>
                <w:webHidden/>
              </w:rPr>
              <w:fldChar w:fldCharType="end"/>
            </w:r>
          </w:hyperlink>
        </w:p>
        <w:p w14:paraId="60122920" w14:textId="75C1DCE8" w:rsidR="00853B9B" w:rsidRDefault="00000000">
          <w:pPr>
            <w:pStyle w:val="Verzeichnis1"/>
            <w:tabs>
              <w:tab w:val="right" w:leader="dot" w:pos="9346"/>
            </w:tabs>
            <w:rPr>
              <w:rFonts w:asciiTheme="minorHAnsi" w:eastAsiaTheme="minorEastAsia" w:hAnsiTheme="minorHAnsi"/>
              <w:noProof/>
              <w:lang w:eastAsia="de-DE"/>
            </w:rPr>
          </w:pPr>
          <w:hyperlink w:anchor="_Toc143003959" w:history="1">
            <w:r w:rsidR="00853B9B" w:rsidRPr="0097294C">
              <w:rPr>
                <w:rStyle w:val="Hyperlink"/>
                <w:noProof/>
              </w:rPr>
              <w:t>Aktenvernichtung / Datenschutz</w:t>
            </w:r>
            <w:r w:rsidR="00853B9B">
              <w:rPr>
                <w:noProof/>
                <w:webHidden/>
              </w:rPr>
              <w:tab/>
            </w:r>
            <w:r w:rsidR="00853B9B">
              <w:rPr>
                <w:noProof/>
                <w:webHidden/>
              </w:rPr>
              <w:fldChar w:fldCharType="begin"/>
            </w:r>
            <w:r w:rsidR="00853B9B">
              <w:rPr>
                <w:noProof/>
                <w:webHidden/>
              </w:rPr>
              <w:instrText xml:space="preserve"> PAGEREF _Toc143003959 \h </w:instrText>
            </w:r>
            <w:r w:rsidR="00853B9B">
              <w:rPr>
                <w:noProof/>
                <w:webHidden/>
              </w:rPr>
            </w:r>
            <w:r w:rsidR="00853B9B">
              <w:rPr>
                <w:noProof/>
                <w:webHidden/>
              </w:rPr>
              <w:fldChar w:fldCharType="separate"/>
            </w:r>
            <w:r w:rsidR="00853B9B">
              <w:rPr>
                <w:noProof/>
                <w:webHidden/>
              </w:rPr>
              <w:t>5</w:t>
            </w:r>
            <w:r w:rsidR="00853B9B">
              <w:rPr>
                <w:noProof/>
                <w:webHidden/>
              </w:rPr>
              <w:fldChar w:fldCharType="end"/>
            </w:r>
          </w:hyperlink>
        </w:p>
        <w:p w14:paraId="33C0994D" w14:textId="48BB3402" w:rsidR="00853B9B" w:rsidRDefault="00000000">
          <w:pPr>
            <w:pStyle w:val="Verzeichnis1"/>
            <w:tabs>
              <w:tab w:val="right" w:leader="dot" w:pos="9346"/>
            </w:tabs>
            <w:rPr>
              <w:rFonts w:asciiTheme="minorHAnsi" w:eastAsiaTheme="minorEastAsia" w:hAnsiTheme="minorHAnsi"/>
              <w:noProof/>
              <w:lang w:eastAsia="de-DE"/>
            </w:rPr>
          </w:pPr>
          <w:hyperlink w:anchor="_Toc143003960" w:history="1">
            <w:r w:rsidR="00853B9B" w:rsidRPr="0097294C">
              <w:rPr>
                <w:rStyle w:val="Hyperlink"/>
                <w:noProof/>
              </w:rPr>
              <w:t>In Zusammenhang stehende Regelungen / Anpassung / Verteilung</w:t>
            </w:r>
            <w:r w:rsidR="00853B9B">
              <w:rPr>
                <w:noProof/>
                <w:webHidden/>
              </w:rPr>
              <w:tab/>
            </w:r>
            <w:r w:rsidR="00853B9B">
              <w:rPr>
                <w:noProof/>
                <w:webHidden/>
              </w:rPr>
              <w:fldChar w:fldCharType="begin"/>
            </w:r>
            <w:r w:rsidR="00853B9B">
              <w:rPr>
                <w:noProof/>
                <w:webHidden/>
              </w:rPr>
              <w:instrText xml:space="preserve"> PAGEREF _Toc143003960 \h </w:instrText>
            </w:r>
            <w:r w:rsidR="00853B9B">
              <w:rPr>
                <w:noProof/>
                <w:webHidden/>
              </w:rPr>
            </w:r>
            <w:r w:rsidR="00853B9B">
              <w:rPr>
                <w:noProof/>
                <w:webHidden/>
              </w:rPr>
              <w:fldChar w:fldCharType="separate"/>
            </w:r>
            <w:r w:rsidR="00853B9B">
              <w:rPr>
                <w:noProof/>
                <w:webHidden/>
              </w:rPr>
              <w:t>6</w:t>
            </w:r>
            <w:r w:rsidR="00853B9B">
              <w:rPr>
                <w:noProof/>
                <w:webHidden/>
              </w:rPr>
              <w:fldChar w:fldCharType="end"/>
            </w:r>
          </w:hyperlink>
        </w:p>
        <w:p w14:paraId="6CE264E9" w14:textId="7EC5EF4B" w:rsidR="00DF4D62" w:rsidRDefault="001029F9" w:rsidP="00DF4D62">
          <w:pPr>
            <w:rPr>
              <w:rFonts w:ascii="Verdana" w:hAnsi="Verdana"/>
            </w:rPr>
          </w:pPr>
          <w:r w:rsidRPr="00C41FB4">
            <w:rPr>
              <w:rFonts w:cs="Arial"/>
              <w:b/>
              <w:bCs/>
            </w:rPr>
            <w:fldChar w:fldCharType="end"/>
          </w:r>
        </w:p>
      </w:sdtContent>
    </w:sdt>
    <w:p w14:paraId="7C56E535" w14:textId="77777777" w:rsidR="00DF4D62" w:rsidRDefault="00DF4D62">
      <w:pPr>
        <w:spacing w:before="0" w:after="200"/>
      </w:pPr>
      <w:r>
        <w:br w:type="page"/>
      </w:r>
    </w:p>
    <w:p w14:paraId="7F0D692E" w14:textId="54592E6D" w:rsidR="00A00EAE" w:rsidRPr="0068611C" w:rsidRDefault="00A00EAE" w:rsidP="00DF4D62">
      <w:pPr>
        <w:pStyle w:val="berschrift1"/>
        <w:rPr>
          <w:rFonts w:ascii="Verdana" w:hAnsi="Verdana"/>
        </w:rPr>
      </w:pPr>
      <w:bookmarkStart w:id="10" w:name="_Toc143003954"/>
      <w:r w:rsidRPr="00040FDB">
        <w:lastRenderedPageBreak/>
        <w:t>Allgemeine Grundsätze</w:t>
      </w:r>
      <w:bookmarkEnd w:id="10"/>
    </w:p>
    <w:p w14:paraId="4088FA7A" w14:textId="47D2680E" w:rsidR="00A00EAE" w:rsidRPr="00826294" w:rsidRDefault="00A00EAE" w:rsidP="0068611C">
      <w:pPr>
        <w:pStyle w:val="StandardNummerierung"/>
      </w:pPr>
      <w:r w:rsidRPr="00826294">
        <w:t xml:space="preserve">Aus allen Schriftstücken </w:t>
      </w:r>
      <w:r w:rsidR="000B7E13" w:rsidRPr="00826294">
        <w:t>müssen</w:t>
      </w:r>
      <w:r w:rsidRPr="00826294">
        <w:t xml:space="preserve"> das Erstellungsdatum und d</w:t>
      </w:r>
      <w:r w:rsidR="00BF3E3F">
        <w:t>ie/der</w:t>
      </w:r>
      <w:r w:rsidRPr="00826294">
        <w:t xml:space="preserve"> Verfasser</w:t>
      </w:r>
      <w:r w:rsidR="00BF3E3F">
        <w:t>/-in</w:t>
      </w:r>
      <w:r w:rsidRPr="00826294">
        <w:t xml:space="preserve"> namentlich erkennbar sein (bei Briefen in der Betreffzeile „</w:t>
      </w:r>
      <w:r w:rsidRPr="0068611C">
        <w:t>Bearbeiter</w:t>
      </w:r>
      <w:r w:rsidR="00BF3E3F">
        <w:t>/-in</w:t>
      </w:r>
      <w:r w:rsidRPr="00826294">
        <w:t>“, bei Aktennotizen mit Namensnennung, Ausf</w:t>
      </w:r>
      <w:r w:rsidR="001029F9" w:rsidRPr="00826294">
        <w:t>ertigungsdatum und Unterschrift).</w:t>
      </w:r>
    </w:p>
    <w:p w14:paraId="61FE0265" w14:textId="7470A526" w:rsidR="00A00EAE" w:rsidRPr="00826294" w:rsidRDefault="00A00EAE" w:rsidP="0068611C">
      <w:pPr>
        <w:pStyle w:val="StandardNummerierung"/>
      </w:pPr>
      <w:r w:rsidRPr="00826294">
        <w:t xml:space="preserve">Sofern vorgesehen und sinnvoll ist der Speicherort/Dateiname auf dem Schriftstück </w:t>
      </w:r>
      <w:r w:rsidR="00296AC7" w:rsidRPr="00826294">
        <w:t>mitzuvermerken</w:t>
      </w:r>
      <w:r w:rsidRPr="00826294">
        <w:t>.</w:t>
      </w:r>
    </w:p>
    <w:p w14:paraId="68AEC1FE" w14:textId="77777777" w:rsidR="00A00EAE" w:rsidRPr="00826294" w:rsidRDefault="00A00EAE" w:rsidP="0068611C">
      <w:pPr>
        <w:pStyle w:val="StandardNummerierung"/>
      </w:pPr>
      <w:r w:rsidRPr="00826294">
        <w:t>Die Ablage von Dokumenten hat stets sinnvoll und nachvollziehbar zu erfolgen.</w:t>
      </w:r>
    </w:p>
    <w:p w14:paraId="13551D4B" w14:textId="2066BD7B" w:rsidR="00836BCA" w:rsidRPr="00040FDB" w:rsidRDefault="00040FDB" w:rsidP="00040FDB">
      <w:pPr>
        <w:pStyle w:val="berschrift1"/>
      </w:pPr>
      <w:bookmarkStart w:id="11" w:name="_Toc143003955"/>
      <w:r w:rsidRPr="00040FDB">
        <w:rPr>
          <w:noProof/>
        </w:rPr>
        <w:drawing>
          <wp:anchor distT="0" distB="0" distL="114300" distR="114300" simplePos="0" relativeHeight="251658240" behindDoc="1" locked="0" layoutInCell="1" allowOverlap="1" wp14:anchorId="51846249" wp14:editId="7D4457EB">
            <wp:simplePos x="0" y="0"/>
            <wp:positionH relativeFrom="margin">
              <wp:posOffset>1189355</wp:posOffset>
            </wp:positionH>
            <wp:positionV relativeFrom="paragraph">
              <wp:posOffset>79375</wp:posOffset>
            </wp:positionV>
            <wp:extent cx="1104900" cy="303530"/>
            <wp:effectExtent l="0" t="0" r="0" b="1270"/>
            <wp:wrapTight wrapText="bothSides">
              <wp:wrapPolygon edited="0">
                <wp:start x="0" y="0"/>
                <wp:lineTo x="0" y="20335"/>
                <wp:lineTo x="13779" y="20335"/>
                <wp:lineTo x="14897" y="5423"/>
                <wp:lineTo x="13779" y="2711"/>
                <wp:lineTo x="5959" y="0"/>
                <wp:lineTo x="0" y="0"/>
              </wp:wrapPolygon>
            </wp:wrapTight>
            <wp:docPr id="5"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Grafiken, Logo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303530"/>
                    </a:xfrm>
                    <a:prstGeom prst="rect">
                      <a:avLst/>
                    </a:prstGeom>
                  </pic:spPr>
                </pic:pic>
              </a:graphicData>
            </a:graphic>
          </wp:anchor>
        </w:drawing>
      </w:r>
      <w:r w:rsidR="00836BCA" w:rsidRPr="00040FDB">
        <w:t>Grundlagen</w:t>
      </w:r>
      <w:r w:rsidR="008667ED" w:rsidRPr="00040FDB">
        <w:t xml:space="preserve"> zu</w:t>
      </w:r>
      <w:r w:rsidR="0068611C">
        <w:t xml:space="preserve"> </w:t>
      </w:r>
      <w:r w:rsidR="0068611C" w:rsidRPr="0068611C">
        <w:rPr>
          <w:color w:val="FFFFFF" w:themeColor="background1"/>
        </w:rPr>
        <w:t>komXwork</w:t>
      </w:r>
      <w:bookmarkEnd w:id="11"/>
      <w:r w:rsidR="00C41FB4" w:rsidRPr="0068611C">
        <w:rPr>
          <w:color w:val="FFFFFF" w:themeColor="background1"/>
        </w:rPr>
        <w:t xml:space="preserve"> </w:t>
      </w:r>
    </w:p>
    <w:p w14:paraId="07485747" w14:textId="2001F808" w:rsidR="0068611C" w:rsidRPr="00C41FB4" w:rsidRDefault="00807512" w:rsidP="0068611C">
      <w:pPr>
        <w:pStyle w:val="StandardNummerierung"/>
      </w:pPr>
      <w:r w:rsidRPr="00C41FB4">
        <w:t>Das Datei- und Archivierung</w:t>
      </w:r>
      <w:r w:rsidR="00B80A06" w:rsidRPr="00C41FB4">
        <w:t>s</w:t>
      </w:r>
      <w:r w:rsidRPr="00C41FB4">
        <w:t>sy</w:t>
      </w:r>
      <w:r w:rsidR="008667ED" w:rsidRPr="00C41FB4">
        <w:t>stem k</w:t>
      </w:r>
      <w:r w:rsidR="00B80A06" w:rsidRPr="00C41FB4">
        <w:t>omXwork</w:t>
      </w:r>
      <w:r w:rsidR="00D54056" w:rsidRPr="00C41FB4">
        <w:t xml:space="preserve"> der </w:t>
      </w:r>
      <w:r w:rsidR="004E6EA2" w:rsidRPr="00C41FB4">
        <w:t>akdb.digitalfabri</w:t>
      </w:r>
      <w:r w:rsidR="0068611C">
        <w:t>X</w:t>
      </w:r>
      <w:r w:rsidR="004E6EA2" w:rsidRPr="00C41FB4">
        <w:t xml:space="preserve"> GmbH</w:t>
      </w:r>
      <w:r w:rsidR="00B80A06" w:rsidRPr="00C41FB4">
        <w:t xml:space="preserve"> ist </w:t>
      </w:r>
      <w:r w:rsidR="00E41DCA" w:rsidRPr="00C41FB4">
        <w:t>als</w:t>
      </w:r>
      <w:r w:rsidR="00B80A06" w:rsidRPr="00C41FB4">
        <w:t xml:space="preserve"> alleiniges Ablagesystem für Verwaltungsvorgänge zu nut</w:t>
      </w:r>
      <w:r w:rsidR="00D54056" w:rsidRPr="00C41FB4">
        <w:t>z</w:t>
      </w:r>
      <w:r w:rsidR="00B80A06" w:rsidRPr="00C41FB4">
        <w:t>en. Eine Parallelablage von Daten findet grundsätzlich nicht statt.</w:t>
      </w:r>
    </w:p>
    <w:p w14:paraId="74C4D8BE" w14:textId="2F1C0AAF" w:rsidR="0068611C" w:rsidRPr="00C41FB4" w:rsidRDefault="00B80A06" w:rsidP="0068611C">
      <w:pPr>
        <w:pStyle w:val="StandardNummerierung"/>
      </w:pPr>
      <w:r w:rsidRPr="00C41FB4">
        <w:t>Die Ablage ist gem. de</w:t>
      </w:r>
      <w:r w:rsidR="00D54056" w:rsidRPr="00C41FB4">
        <w:t xml:space="preserve">n </w:t>
      </w:r>
      <w:r w:rsidR="000B7E13" w:rsidRPr="00C41FB4">
        <w:t>Vorgaben des</w:t>
      </w:r>
      <w:r w:rsidR="00D54056" w:rsidRPr="00C41FB4">
        <w:t xml:space="preserve"> </w:t>
      </w:r>
      <w:r w:rsidRPr="00C41FB4">
        <w:t xml:space="preserve">Einheitsaktenplans (EAPL) zu nutzen. Abweichungen sind grundsätzlich nicht zulässig. Bei </w:t>
      </w:r>
      <w:r w:rsidR="00B629FC" w:rsidRPr="00C41FB4">
        <w:t>Unklarheiten zur Ablage ist</w:t>
      </w:r>
      <w:r w:rsidR="00E22B60" w:rsidRPr="00C41FB4">
        <w:t xml:space="preserve"> die Vorlage „Einheitsaktenplan für die bayerischen Gemeinden“ (jeweils aktueller Stand</w:t>
      </w:r>
      <w:r w:rsidR="000B7E13" w:rsidRPr="00C41FB4">
        <w:t>,</w:t>
      </w:r>
      <w:r w:rsidR="000A0514" w:rsidRPr="00C41FB4">
        <w:t xml:space="preserve"> </w:t>
      </w:r>
      <w:hyperlink r:id="rId9" w:history="1">
        <w:r w:rsidR="000A0514" w:rsidRPr="00C41FB4">
          <w:rPr>
            <w:rStyle w:val="Hyperlink"/>
            <w:rFonts w:ascii="Verdana" w:hAnsi="Verdana" w:cs="Arial"/>
          </w:rPr>
          <w:t>http://www.gda.bayern.de</w:t>
        </w:r>
      </w:hyperlink>
      <w:r w:rsidR="00E22B60" w:rsidRPr="00C41FB4">
        <w:t>)</w:t>
      </w:r>
      <w:r w:rsidR="007369CC" w:rsidRPr="00C41FB4">
        <w:t xml:space="preserve"> zu prüfen</w:t>
      </w:r>
      <w:r w:rsidR="00E22B60" w:rsidRPr="00C41FB4">
        <w:t xml:space="preserve"> und</w:t>
      </w:r>
      <w:r w:rsidR="00F55276" w:rsidRPr="00C41FB4">
        <w:t xml:space="preserve"> </w:t>
      </w:r>
      <w:r w:rsidR="007369CC" w:rsidRPr="00C41FB4">
        <w:t>/</w:t>
      </w:r>
      <w:r w:rsidR="00F55276" w:rsidRPr="00C41FB4">
        <w:t xml:space="preserve"> </w:t>
      </w:r>
      <w:r w:rsidR="007369CC" w:rsidRPr="00C41FB4">
        <w:t>oder</w:t>
      </w:r>
      <w:r w:rsidR="00E22B60" w:rsidRPr="00C41FB4">
        <w:t xml:space="preserve"> </w:t>
      </w:r>
      <w:r w:rsidR="00BF3E3F">
        <w:t>die/</w:t>
      </w:r>
      <w:r w:rsidR="00E22B60" w:rsidRPr="00C41FB4">
        <w:t>der Geschäftsstellenleiter</w:t>
      </w:r>
      <w:r w:rsidR="00BF3E3F">
        <w:t>/-in</w:t>
      </w:r>
      <w:r w:rsidR="00E22B60" w:rsidRPr="00C41FB4">
        <w:t xml:space="preserve"> zu kontaktieren.</w:t>
      </w:r>
    </w:p>
    <w:p w14:paraId="2D88C330" w14:textId="77777777" w:rsidR="00E41298" w:rsidRPr="00C41FB4" w:rsidRDefault="00E41298" w:rsidP="0068611C">
      <w:pPr>
        <w:pStyle w:val="StandardNummerierung"/>
      </w:pPr>
      <w:r w:rsidRPr="00C41FB4">
        <w:t xml:space="preserve">Elektronisch abgelegte </w:t>
      </w:r>
      <w:r w:rsidR="008667ED" w:rsidRPr="00C41FB4">
        <w:t>Dateien im Archivierungssystem komXw</w:t>
      </w:r>
      <w:r w:rsidRPr="00C41FB4">
        <w:t>ork sind nachträglich unveränderbar im Dateisystem abgelegt.</w:t>
      </w:r>
    </w:p>
    <w:p w14:paraId="72B4CD98" w14:textId="77777777" w:rsidR="00E41DCA" w:rsidRPr="00C41FB4" w:rsidRDefault="00E41DCA" w:rsidP="0068611C">
      <w:pPr>
        <w:pStyle w:val="StandardNummerierung"/>
      </w:pPr>
      <w:r w:rsidRPr="00C41FB4">
        <w:t>Bewegungsdokumente können grundsätzlich von der Ablage ausgeschlossen werden</w:t>
      </w:r>
      <w:r w:rsidR="00D54056" w:rsidRPr="00C41FB4">
        <w:t xml:space="preserve"> (Kurzbriefe, Schreiben ohne grundsätzliche Bedeutung für die Gemeinde)</w:t>
      </w:r>
      <w:r w:rsidR="006E3EE1" w:rsidRPr="00C41FB4">
        <w:t>.</w:t>
      </w:r>
    </w:p>
    <w:p w14:paraId="1D403329" w14:textId="77777777" w:rsidR="00E41DCA" w:rsidRPr="00C41FB4" w:rsidRDefault="005A1876" w:rsidP="0068611C">
      <w:pPr>
        <w:pStyle w:val="StandardNummerierung"/>
      </w:pPr>
      <w:r w:rsidRPr="00C41FB4">
        <w:t>Diese werden im persönlichen Ordner auf dem Server gespeichert. Dadurch unterliegen diese Arbeits-, Hilfs-, Bewegungsdateien auch der Datensicherung und können wiederhergestellt werden.</w:t>
      </w:r>
    </w:p>
    <w:p w14:paraId="42F777F2" w14:textId="0D15882D" w:rsidR="00E41DCA" w:rsidRPr="00C41FB4" w:rsidRDefault="00E41DCA" w:rsidP="0068611C">
      <w:pPr>
        <w:pStyle w:val="StandardNummerierung"/>
      </w:pPr>
      <w:r w:rsidRPr="00C41FB4">
        <w:t>Dokumente</w:t>
      </w:r>
      <w:r w:rsidR="00E5588A" w:rsidRPr="00C41FB4">
        <w:t>,</w:t>
      </w:r>
      <w:r w:rsidRPr="00C41FB4">
        <w:t xml:space="preserve"> die mit einer Unterschrift versehen worden sind, sind grundsätzlich über einen Scan</w:t>
      </w:r>
      <w:r w:rsidR="000B7E13" w:rsidRPr="00C41FB4">
        <w:t>-</w:t>
      </w:r>
      <w:r w:rsidRPr="00C41FB4">
        <w:t xml:space="preserve">Vorgang </w:t>
      </w:r>
      <w:r w:rsidR="008A6863" w:rsidRPr="00C41FB4">
        <w:t>nachträglich zu erfassen</w:t>
      </w:r>
      <w:r w:rsidRPr="00C41FB4">
        <w:t>.</w:t>
      </w:r>
    </w:p>
    <w:p w14:paraId="2AC166C4" w14:textId="378D428D" w:rsidR="00E41298" w:rsidRPr="00C41FB4" w:rsidRDefault="00E41298" w:rsidP="0068611C">
      <w:pPr>
        <w:pStyle w:val="StandardNummerierung"/>
      </w:pPr>
      <w:r w:rsidRPr="00C41FB4">
        <w:t>Das Scannen von Dokumenten hat grundsätzlich im PDF-Format zu erfolgen. Das Scannen von Bildern</w:t>
      </w:r>
      <w:r w:rsidR="00757982" w:rsidRPr="00C41FB4">
        <w:t xml:space="preserve"> erfolgt im Regelfall im Format</w:t>
      </w:r>
      <w:r w:rsidR="00397A30" w:rsidRPr="00C41FB4">
        <w:t xml:space="preserve"> </w:t>
      </w:r>
      <w:r w:rsidRPr="00C41FB4">
        <w:t xml:space="preserve">JPG. </w:t>
      </w:r>
      <w:r w:rsidR="00757982" w:rsidRPr="00C41FB4">
        <w:t>Programmspezifische Dateiformate</w:t>
      </w:r>
      <w:r w:rsidR="001F7166" w:rsidRPr="00C41FB4">
        <w:t>,</w:t>
      </w:r>
      <w:r w:rsidRPr="00C41FB4">
        <w:t xml:space="preserve"> von </w:t>
      </w:r>
      <w:r w:rsidR="00757982" w:rsidRPr="00C41FB4">
        <w:t xml:space="preserve">über mit </w:t>
      </w:r>
      <w:r w:rsidR="008667ED" w:rsidRPr="00C41FB4">
        <w:t>k</w:t>
      </w:r>
      <w:r w:rsidRPr="00C41FB4">
        <w:t>omXwork eingebundener Software,</w:t>
      </w:r>
      <w:r w:rsidR="00757982" w:rsidRPr="00C41FB4">
        <w:t xml:space="preserve"> werden</w:t>
      </w:r>
      <w:r w:rsidR="00397A30" w:rsidRPr="00C41FB4">
        <w:t xml:space="preserve"> - </w:t>
      </w:r>
      <w:r w:rsidR="00757982" w:rsidRPr="00C41FB4">
        <w:t>sofern erforderlich</w:t>
      </w:r>
      <w:r w:rsidR="001F7166" w:rsidRPr="00C41FB4">
        <w:t xml:space="preserve"> -</w:t>
      </w:r>
      <w:r w:rsidRPr="00C41FB4">
        <w:t xml:space="preserve"> davon abweichend in</w:t>
      </w:r>
      <w:r w:rsidR="00757982" w:rsidRPr="00C41FB4">
        <w:t xml:space="preserve"> diesen</w:t>
      </w:r>
      <w:r w:rsidRPr="00C41FB4">
        <w:t xml:space="preserve"> Sonderformaten abgelegt.</w:t>
      </w:r>
    </w:p>
    <w:p w14:paraId="58903D9A" w14:textId="0694D306" w:rsidR="00807512" w:rsidRPr="00C41FB4" w:rsidRDefault="008667ED" w:rsidP="0068611C">
      <w:pPr>
        <w:pStyle w:val="StandardNummerierung"/>
      </w:pPr>
      <w:r w:rsidRPr="00C41FB4">
        <w:t>Die Grundeinstellungen in k</w:t>
      </w:r>
      <w:r w:rsidR="00807512" w:rsidRPr="00C41FB4">
        <w:t>omXwork sin</w:t>
      </w:r>
      <w:r w:rsidR="00C7407D" w:rsidRPr="00C41FB4">
        <w:t xml:space="preserve">d nur nach Absprache mit </w:t>
      </w:r>
      <w:r w:rsidR="00BF3E3F">
        <w:t>der/</w:t>
      </w:r>
      <w:r w:rsidR="00C7407D" w:rsidRPr="00C41FB4">
        <w:t>dem Systemadministrator</w:t>
      </w:r>
      <w:r w:rsidR="00BF3E3F">
        <w:t>/-in</w:t>
      </w:r>
      <w:r w:rsidR="00807512" w:rsidRPr="00C41FB4">
        <w:t xml:space="preserve"> oder </w:t>
      </w:r>
      <w:r w:rsidR="00BF3E3F">
        <w:t>der/</w:t>
      </w:r>
      <w:r w:rsidR="00807512" w:rsidRPr="00C41FB4">
        <w:t>dem Geschäftsstellenleiter</w:t>
      </w:r>
      <w:r w:rsidR="00BF3E3F">
        <w:t>/-in</w:t>
      </w:r>
      <w:r w:rsidR="00807512" w:rsidRPr="00C41FB4">
        <w:t xml:space="preserve"> zu ändern.</w:t>
      </w:r>
    </w:p>
    <w:p w14:paraId="5B47E00C" w14:textId="77777777" w:rsidR="00040FDB" w:rsidRDefault="00040FDB">
      <w:pPr>
        <w:rPr>
          <w:rFonts w:eastAsiaTheme="majorEastAsia" w:cstheme="majorBidi"/>
          <w:b/>
          <w:bCs/>
          <w:color w:val="0A2860"/>
          <w:sz w:val="24"/>
          <w:szCs w:val="28"/>
        </w:rPr>
      </w:pPr>
      <w:r>
        <w:br w:type="page"/>
      </w:r>
    </w:p>
    <w:p w14:paraId="309812F7" w14:textId="16EE9E9E" w:rsidR="00836BCA" w:rsidRPr="00826294" w:rsidRDefault="00836BCA" w:rsidP="00040FDB">
      <w:pPr>
        <w:pStyle w:val="berschrift1"/>
      </w:pPr>
      <w:bookmarkStart w:id="12" w:name="_Toc143003956"/>
      <w:r w:rsidRPr="00826294">
        <w:lastRenderedPageBreak/>
        <w:t>Struktur</w:t>
      </w:r>
      <w:r w:rsidR="001659C2" w:rsidRPr="00826294">
        <w:t xml:space="preserve"> / Ablage</w:t>
      </w:r>
      <w:bookmarkEnd w:id="12"/>
    </w:p>
    <w:p w14:paraId="3B00BD44" w14:textId="14CE470B" w:rsidR="00836BCA" w:rsidRPr="00C41FB4" w:rsidRDefault="00836BCA" w:rsidP="0068611C">
      <w:pPr>
        <w:pStyle w:val="StandardNummerierung"/>
      </w:pPr>
      <w:r w:rsidRPr="00826294">
        <w:t>Die Ablagestruktur ist wie folgt aufgebaut:</w:t>
      </w:r>
    </w:p>
    <w:p w14:paraId="413EDFFA" w14:textId="48882A04" w:rsidR="00836BCA" w:rsidRPr="00C41FB4" w:rsidRDefault="00836BCA" w:rsidP="00C41FB4">
      <w:pPr>
        <w:pStyle w:val="Listenabsatz"/>
        <w:spacing w:line="240" w:lineRule="auto"/>
        <w:jc w:val="both"/>
        <w:rPr>
          <w:rFonts w:ascii="Verdana" w:hAnsi="Verdana" w:cs="Arial"/>
        </w:rPr>
      </w:pPr>
      <w:r w:rsidRPr="00826294">
        <w:rPr>
          <w:rFonts w:ascii="Verdana" w:hAnsi="Verdana" w:cs="Arial"/>
        </w:rPr>
        <w:t>Bereich</w:t>
      </w:r>
      <w:r w:rsidR="00486CD1">
        <w:rPr>
          <w:rFonts w:ascii="Verdana" w:hAnsi="Verdana" w:cs="Arial"/>
        </w:rPr>
        <w:t xml:space="preserve">              </w:t>
      </w:r>
      <w:r w:rsidR="001F7166" w:rsidRPr="001F7166">
        <w:rPr>
          <w:rFonts w:ascii="Verdana" w:hAnsi="Verdana" w:cs="Arial"/>
        </w:rPr>
        <w:sym w:font="Wingdings" w:char="F0E0"/>
      </w:r>
      <w:r w:rsidR="00691C71">
        <w:rPr>
          <w:rFonts w:ascii="Verdana" w:hAnsi="Verdana" w:cs="Arial"/>
        </w:rPr>
        <w:t xml:space="preserve">                 </w:t>
      </w:r>
      <w:r w:rsidRPr="00826294">
        <w:rPr>
          <w:rFonts w:ascii="Verdana" w:hAnsi="Verdana" w:cs="Arial"/>
        </w:rPr>
        <w:t>Akte</w:t>
      </w:r>
      <w:r w:rsidR="00691C71">
        <w:rPr>
          <w:rFonts w:ascii="Verdana" w:hAnsi="Verdana" w:cs="Arial"/>
        </w:rPr>
        <w:t xml:space="preserve">               </w:t>
      </w:r>
      <w:r w:rsidR="001F7166" w:rsidRPr="001F7166">
        <w:rPr>
          <w:rFonts w:ascii="Verdana" w:hAnsi="Verdana" w:cs="Arial"/>
        </w:rPr>
        <w:sym w:font="Wingdings" w:char="F0E0"/>
      </w:r>
      <w:r w:rsidR="00691C71">
        <w:rPr>
          <w:rFonts w:ascii="Verdana" w:hAnsi="Verdana" w:cs="Arial"/>
        </w:rPr>
        <w:t xml:space="preserve">    </w:t>
      </w:r>
      <w:r w:rsidR="00C41FB4">
        <w:rPr>
          <w:rFonts w:ascii="Verdana" w:hAnsi="Verdana" w:cs="Arial"/>
        </w:rPr>
        <w:t xml:space="preserve"> </w:t>
      </w:r>
      <w:r w:rsidR="006A3DC4" w:rsidRPr="00826294">
        <w:rPr>
          <w:rFonts w:ascii="Verdana" w:hAnsi="Verdana" w:cs="Arial"/>
        </w:rPr>
        <w:tab/>
      </w:r>
      <w:r w:rsidRPr="00826294">
        <w:rPr>
          <w:rFonts w:ascii="Verdana" w:hAnsi="Verdana" w:cs="Arial"/>
        </w:rPr>
        <w:t>Vorgang</w:t>
      </w:r>
    </w:p>
    <w:p w14:paraId="2528CD92" w14:textId="29632C9D" w:rsidR="00C41FB4" w:rsidRPr="00C41FB4" w:rsidRDefault="00691C71" w:rsidP="00C41FB4">
      <w:pPr>
        <w:jc w:val="both"/>
        <w:rPr>
          <w:rFonts w:ascii="Verdana" w:hAnsi="Verdana" w:cs="Arial"/>
        </w:rPr>
      </w:pPr>
      <w:r>
        <w:rPr>
          <w:rFonts w:ascii="Verdana" w:hAnsi="Verdana" w:cs="Arial"/>
        </w:rPr>
        <w:t xml:space="preserve">        </w:t>
      </w:r>
      <w:r w:rsidR="00486CD1" w:rsidRPr="00691C71">
        <w:rPr>
          <w:rFonts w:ascii="Verdana" w:hAnsi="Verdana" w:cs="Arial"/>
        </w:rPr>
        <w:t xml:space="preserve"> </w:t>
      </w:r>
      <w:r w:rsidR="005E315D" w:rsidRPr="00826294">
        <w:rPr>
          <w:noProof/>
          <w:lang w:eastAsia="de-DE"/>
        </w:rPr>
        <w:drawing>
          <wp:inline distT="0" distB="0" distL="0" distR="0" wp14:anchorId="4BCAFCCA" wp14:editId="4550BDF4">
            <wp:extent cx="556260" cy="5924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56260" cy="592455"/>
                    </a:xfrm>
                    <a:prstGeom prst="rect">
                      <a:avLst/>
                    </a:prstGeom>
                    <a:noFill/>
                    <a:ln>
                      <a:noFill/>
                    </a:ln>
                  </pic:spPr>
                </pic:pic>
              </a:graphicData>
            </a:graphic>
          </wp:inline>
        </w:drawing>
      </w:r>
      <w:r w:rsidR="005E315D" w:rsidRPr="00691C71">
        <w:rPr>
          <w:rFonts w:ascii="Verdana" w:hAnsi="Verdana" w:cs="Arial"/>
        </w:rPr>
        <w:tab/>
      </w:r>
      <w:r w:rsidR="005E315D" w:rsidRPr="00691C71">
        <w:rPr>
          <w:rFonts w:ascii="Verdana" w:hAnsi="Verdana" w:cs="Arial"/>
        </w:rPr>
        <w:tab/>
      </w:r>
      <w:r w:rsidR="005E315D" w:rsidRPr="00691C71">
        <w:rPr>
          <w:rFonts w:ascii="Verdana" w:hAnsi="Verdana" w:cs="Arial"/>
        </w:rPr>
        <w:tab/>
      </w:r>
      <w:r>
        <w:rPr>
          <w:rFonts w:ascii="Verdana" w:hAnsi="Verdana" w:cs="Arial"/>
        </w:rPr>
        <w:t xml:space="preserve">       </w:t>
      </w:r>
      <w:r w:rsidR="00486CD1" w:rsidRPr="00691C71">
        <w:rPr>
          <w:rFonts w:ascii="Verdana" w:hAnsi="Verdana" w:cs="Arial"/>
        </w:rPr>
        <w:t xml:space="preserve"> </w:t>
      </w:r>
      <w:r w:rsidR="005E315D" w:rsidRPr="00826294">
        <w:rPr>
          <w:noProof/>
          <w:lang w:eastAsia="de-DE"/>
        </w:rPr>
        <w:drawing>
          <wp:inline distT="0" distB="0" distL="0" distR="0" wp14:anchorId="45941B0C" wp14:editId="362B5264">
            <wp:extent cx="396000" cy="59400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96000" cy="594000"/>
                    </a:xfrm>
                    <a:prstGeom prst="rect">
                      <a:avLst/>
                    </a:prstGeom>
                    <a:noFill/>
                    <a:ln>
                      <a:noFill/>
                    </a:ln>
                  </pic:spPr>
                </pic:pic>
              </a:graphicData>
            </a:graphic>
          </wp:inline>
        </w:drawing>
      </w:r>
      <w:r w:rsidR="005E315D" w:rsidRPr="00691C71">
        <w:rPr>
          <w:rFonts w:ascii="Verdana" w:hAnsi="Verdana" w:cs="Arial"/>
        </w:rPr>
        <w:tab/>
      </w:r>
      <w:r w:rsidR="005E315D" w:rsidRPr="00691C71">
        <w:rPr>
          <w:rFonts w:ascii="Verdana" w:hAnsi="Verdana" w:cs="Arial"/>
        </w:rPr>
        <w:tab/>
      </w:r>
      <w:r w:rsidR="00486CD1" w:rsidRPr="00691C71">
        <w:rPr>
          <w:rFonts w:ascii="Verdana" w:hAnsi="Verdana" w:cs="Arial"/>
        </w:rPr>
        <w:t xml:space="preserve">          </w:t>
      </w:r>
      <w:r w:rsidR="006A3DC4" w:rsidRPr="00691C71">
        <w:rPr>
          <w:rFonts w:ascii="Verdana" w:hAnsi="Verdana" w:cs="Arial"/>
        </w:rPr>
        <w:tab/>
      </w:r>
      <w:r>
        <w:rPr>
          <w:rFonts w:ascii="Verdana" w:hAnsi="Verdana" w:cs="Arial"/>
        </w:rPr>
        <w:t xml:space="preserve"> </w:t>
      </w:r>
      <w:r w:rsidR="005E315D" w:rsidRPr="00826294">
        <w:rPr>
          <w:noProof/>
          <w:lang w:eastAsia="de-DE"/>
        </w:rPr>
        <w:drawing>
          <wp:inline distT="0" distB="0" distL="0" distR="0" wp14:anchorId="3B066E68" wp14:editId="37048E8F">
            <wp:extent cx="511200" cy="5940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11200" cy="594000"/>
                    </a:xfrm>
                    <a:prstGeom prst="rect">
                      <a:avLst/>
                    </a:prstGeom>
                    <a:noFill/>
                    <a:ln>
                      <a:noFill/>
                    </a:ln>
                  </pic:spPr>
                </pic:pic>
              </a:graphicData>
            </a:graphic>
          </wp:inline>
        </w:drawing>
      </w:r>
    </w:p>
    <w:p w14:paraId="66D29FD0" w14:textId="77777777" w:rsidR="0035618C" w:rsidRPr="00826294" w:rsidRDefault="0035618C" w:rsidP="0068611C">
      <w:pPr>
        <w:pStyle w:val="StandardNummerierung"/>
      </w:pPr>
      <w:r w:rsidRPr="00826294">
        <w:t>Aufbau der Ablage</w:t>
      </w:r>
      <w:r w:rsidR="005A1876" w:rsidRPr="00826294">
        <w:t xml:space="preserve"> für die Nutzung</w:t>
      </w:r>
    </w:p>
    <w:p w14:paraId="3949E939" w14:textId="77777777" w:rsidR="0035618C" w:rsidRPr="00826294" w:rsidRDefault="006A3DC4" w:rsidP="00BF3E3F">
      <w:pPr>
        <w:ind w:left="708"/>
      </w:pPr>
      <w:r w:rsidRPr="00826294">
        <w:t>z.B. 6323 Kläranlage</w:t>
      </w:r>
      <w:r w:rsidRPr="00826294">
        <w:tab/>
      </w:r>
      <w:r w:rsidRPr="00826294">
        <w:tab/>
        <w:t>Kläranlagenerweiterung</w:t>
      </w:r>
      <w:r w:rsidRPr="00826294">
        <w:tab/>
        <w:t>Ausschreibung</w:t>
      </w:r>
    </w:p>
    <w:p w14:paraId="6384F071" w14:textId="77777777" w:rsidR="006E3EE1" w:rsidRPr="00826294" w:rsidRDefault="006E3EE1" w:rsidP="0068611C">
      <w:pPr>
        <w:pStyle w:val="StandardNummerierung"/>
      </w:pPr>
      <w:r w:rsidRPr="00826294">
        <w:t>Die Ablagestruktur ist so zu nutzen, dass für Gesamtvorgänge in einem Bereich (z.</w:t>
      </w:r>
      <w:r w:rsidR="00D54056" w:rsidRPr="00826294">
        <w:t>B</w:t>
      </w:r>
      <w:r w:rsidRPr="00826294">
        <w:t>. Kläranlagenerweiterung) eine Akte im jeweiligen Bereich (6323 Kläranlage) anzulegen ist. Für die einzelnen Abschnitte des Vorgangs (z.B. Ausschreibungen) sind dann Vorgänge anzulegen. In diesen Vorgängen werden dann die Dokumente (Word, PDF, Ex</w:t>
      </w:r>
      <w:r w:rsidR="00D54056" w:rsidRPr="00826294">
        <w:t>c</w:t>
      </w:r>
      <w:r w:rsidRPr="00826294">
        <w:t>el, etc.) abgelegt.</w:t>
      </w:r>
      <w:r w:rsidR="005A1876" w:rsidRPr="00826294">
        <w:t xml:space="preserve"> Beispiel s.o.</w:t>
      </w:r>
    </w:p>
    <w:p w14:paraId="7E091CDA" w14:textId="69B01049" w:rsidR="00836BCA" w:rsidRPr="00826294" w:rsidRDefault="00836BCA" w:rsidP="0068611C">
      <w:pPr>
        <w:pStyle w:val="StandardNummerierung"/>
      </w:pPr>
      <w:r w:rsidRPr="00826294">
        <w:t>Jede</w:t>
      </w:r>
      <w:r w:rsidR="00BF3E3F">
        <w:t>/</w:t>
      </w:r>
      <w:r w:rsidRPr="00826294">
        <w:t>r Nutzer</w:t>
      </w:r>
      <w:r w:rsidR="00BF3E3F">
        <w:t>/-in</w:t>
      </w:r>
      <w:r w:rsidRPr="00826294">
        <w:t xml:space="preserve"> kann neue Akten bei Bedarf anleg</w:t>
      </w:r>
      <w:r w:rsidR="001659C2" w:rsidRPr="00826294">
        <w:t>en. Neue übergeordnete Bereiche</w:t>
      </w:r>
      <w:r w:rsidRPr="00826294">
        <w:t xml:space="preserve"> dürfen nur nach Rücksprache mit </w:t>
      </w:r>
      <w:r w:rsidR="00BF3E3F">
        <w:t>der/</w:t>
      </w:r>
      <w:r w:rsidRPr="00826294">
        <w:t>dem Gesc</w:t>
      </w:r>
      <w:r w:rsidR="00C7407D" w:rsidRPr="00826294">
        <w:t>häftsstellenleiter</w:t>
      </w:r>
      <w:r w:rsidR="00BF3E3F">
        <w:t>/-in</w:t>
      </w:r>
      <w:r w:rsidR="00C7407D" w:rsidRPr="00826294">
        <w:t xml:space="preserve"> durch </w:t>
      </w:r>
      <w:r w:rsidR="00BF3E3F">
        <w:t>die/</w:t>
      </w:r>
      <w:r w:rsidR="00C7407D" w:rsidRPr="00826294">
        <w:t>den Systemadministrator</w:t>
      </w:r>
      <w:r w:rsidR="00BF3E3F">
        <w:t>/-in</w:t>
      </w:r>
      <w:r w:rsidRPr="00826294">
        <w:t xml:space="preserve"> angelegt werden.</w:t>
      </w:r>
    </w:p>
    <w:p w14:paraId="3EA4D66D" w14:textId="795D7678" w:rsidR="006E3EE1" w:rsidRPr="00826294" w:rsidRDefault="00836BCA" w:rsidP="0068611C">
      <w:pPr>
        <w:pStyle w:val="StandardNummerierung"/>
      </w:pPr>
      <w:r w:rsidRPr="00826294">
        <w:t>Die Bezeichnung der anzulegenden Akten</w:t>
      </w:r>
      <w:r w:rsidR="00807512" w:rsidRPr="00826294">
        <w:t xml:space="preserve"> und Vorgänge hat sinnvoll, nachvollziehbar und aussagekräftig zu erfolgen.</w:t>
      </w:r>
    </w:p>
    <w:p w14:paraId="54C2D78F" w14:textId="21237418" w:rsidR="005A1876" w:rsidRPr="00826294" w:rsidRDefault="005A1876" w:rsidP="00BF3E3F">
      <w:pPr>
        <w:ind w:left="708"/>
      </w:pPr>
      <w:r w:rsidRPr="00826294">
        <w:t>z.B. Kläranlagenerweiterung 20</w:t>
      </w:r>
      <w:r w:rsidR="000A0514">
        <w:t>23</w:t>
      </w:r>
      <w:r w:rsidRPr="00826294">
        <w:t>, Rathauserweiterung 20</w:t>
      </w:r>
      <w:r w:rsidR="000A0514">
        <w:t>23</w:t>
      </w:r>
    </w:p>
    <w:p w14:paraId="51D4591F" w14:textId="613A0F5B" w:rsidR="006E3EE1" w:rsidRPr="00826294" w:rsidRDefault="00677075" w:rsidP="0068611C">
      <w:pPr>
        <w:pStyle w:val="StandardNummerierung"/>
      </w:pPr>
      <w:r w:rsidRPr="00826294">
        <w:t xml:space="preserve">Bei nachträglich </w:t>
      </w:r>
      <w:r w:rsidR="00D54056" w:rsidRPr="00826294">
        <w:t>e</w:t>
      </w:r>
      <w:r w:rsidRPr="00826294">
        <w:t xml:space="preserve">rfassten oder abgespeicherten Dokumenten ist beim Datum immer das dienstliche Datum (Erstellungsdatum der Endfassung des Dokuments) zu erfassen. Dieses dient der chronologischen </w:t>
      </w:r>
      <w:r w:rsidR="00D54056" w:rsidRPr="00826294">
        <w:t>Nachvollziehbarkei</w:t>
      </w:r>
      <w:r w:rsidR="006D632A" w:rsidRPr="00826294">
        <w:t>t</w:t>
      </w:r>
      <w:r w:rsidR="00D54056" w:rsidRPr="00826294">
        <w:t xml:space="preserve"> </w:t>
      </w:r>
      <w:r w:rsidRPr="00826294">
        <w:t xml:space="preserve">eines Vorgangs. </w:t>
      </w:r>
    </w:p>
    <w:p w14:paraId="5A6BE1BD" w14:textId="6F97203D" w:rsidR="00807512" w:rsidRPr="00826294" w:rsidRDefault="00836BCA" w:rsidP="0068611C">
      <w:pPr>
        <w:pStyle w:val="StandardNummerierung"/>
      </w:pPr>
      <w:r w:rsidRPr="00826294">
        <w:t>Bereichsü</w:t>
      </w:r>
      <w:r w:rsidR="00807512" w:rsidRPr="00826294">
        <w:t>bergreifende Vorgänge werden in den jeweiligen EAPL</w:t>
      </w:r>
      <w:r w:rsidR="001F7166">
        <w:t>-</w:t>
      </w:r>
      <w:r w:rsidR="00807512" w:rsidRPr="00826294">
        <w:t>Bereiche</w:t>
      </w:r>
      <w:r w:rsidR="001F7166">
        <w:t>n</w:t>
      </w:r>
      <w:r w:rsidR="00807512" w:rsidRPr="00826294">
        <w:t xml:space="preserve"> abgelegt und entsprechend gekennzeichnet.</w:t>
      </w:r>
    </w:p>
    <w:p w14:paraId="77BFE394" w14:textId="13BCC484" w:rsidR="006E3EE1" w:rsidRPr="00826294" w:rsidRDefault="00E41DCA" w:rsidP="0068611C">
      <w:pPr>
        <w:pStyle w:val="StandardNummerierung"/>
      </w:pPr>
      <w:r w:rsidRPr="00826294">
        <w:t>Um Mehrfachablagen zu vermeiden</w:t>
      </w:r>
      <w:r w:rsidR="001F7166">
        <w:t>,</w:t>
      </w:r>
      <w:r w:rsidRPr="00826294">
        <w:t xml:space="preserve"> können Vorgänge miteinander verknüpft werden.</w:t>
      </w:r>
    </w:p>
    <w:p w14:paraId="178A8F64" w14:textId="77777777" w:rsidR="006E3EE1" w:rsidRPr="00826294" w:rsidRDefault="006E3EE1" w:rsidP="0068611C">
      <w:pPr>
        <w:pStyle w:val="StandardNummerierung"/>
      </w:pPr>
      <w:r w:rsidRPr="00826294">
        <w:t>Zusätzliche sinnvolle Daten sind in der Beschreibung zu erfassen.</w:t>
      </w:r>
    </w:p>
    <w:p w14:paraId="42D3B0B5" w14:textId="2C69AE33" w:rsidR="00826294" w:rsidRDefault="005C72C8" w:rsidP="0068611C">
      <w:pPr>
        <w:pStyle w:val="StandardNummerierung"/>
      </w:pPr>
      <w:r w:rsidRPr="00826294">
        <w:t>Beispiele für die Ablage</w:t>
      </w:r>
      <w:r w:rsidR="00B46177">
        <w:t>:</w:t>
      </w:r>
    </w:p>
    <w:p w14:paraId="0B4EEAF5" w14:textId="77777777" w:rsidR="005C72C8" w:rsidRPr="0068611C" w:rsidRDefault="005C72C8" w:rsidP="005C72C8">
      <w:pPr>
        <w:pStyle w:val="Listenabsatz"/>
        <w:jc w:val="both"/>
        <w:rPr>
          <w:rFonts w:cs="Arial"/>
          <w:b/>
        </w:rPr>
      </w:pPr>
      <w:r w:rsidRPr="0068611C">
        <w:rPr>
          <w:rFonts w:cs="Arial"/>
          <w:b/>
        </w:rPr>
        <w:t>Bauamt</w:t>
      </w:r>
    </w:p>
    <w:p w14:paraId="6D9863EF" w14:textId="7ED99B90" w:rsidR="005C72C8" w:rsidRPr="0068611C" w:rsidRDefault="00826294" w:rsidP="005C72C8">
      <w:pPr>
        <w:pStyle w:val="Listenabsatz"/>
        <w:jc w:val="both"/>
        <w:rPr>
          <w:rFonts w:cs="Arial"/>
        </w:rPr>
      </w:pPr>
      <w:r w:rsidRPr="0068611C">
        <w:rPr>
          <w:rFonts w:cs="Arial"/>
        </w:rPr>
        <w:t>Vorgang</w:t>
      </w:r>
      <w:r w:rsidR="005C72C8" w:rsidRPr="0068611C">
        <w:rPr>
          <w:rFonts w:cs="Arial"/>
        </w:rPr>
        <w:tab/>
      </w:r>
      <w:r w:rsidR="005C72C8" w:rsidRPr="0068611C">
        <w:rPr>
          <w:rFonts w:cs="Arial"/>
        </w:rPr>
        <w:tab/>
      </w:r>
      <w:r w:rsidR="005C72C8" w:rsidRPr="0068611C">
        <w:rPr>
          <w:rFonts w:cs="Arial"/>
        </w:rPr>
        <w:tab/>
      </w:r>
      <w:r w:rsidR="005C72C8" w:rsidRPr="0068611C">
        <w:rPr>
          <w:rFonts w:cs="Arial"/>
        </w:rPr>
        <w:tab/>
      </w:r>
      <w:r w:rsidR="005C72C8" w:rsidRPr="0068611C">
        <w:rPr>
          <w:rFonts w:cs="Arial"/>
        </w:rPr>
        <w:tab/>
      </w:r>
      <w:r w:rsidR="00677075" w:rsidRPr="0068611C">
        <w:rPr>
          <w:rFonts w:cs="Arial"/>
        </w:rPr>
        <w:tab/>
      </w:r>
      <w:r w:rsidR="00677075" w:rsidRPr="0068611C">
        <w:rPr>
          <w:rFonts w:cs="Arial"/>
        </w:rPr>
        <w:tab/>
      </w:r>
      <w:r w:rsidR="005C72C8" w:rsidRPr="0068611C">
        <w:rPr>
          <w:rFonts w:cs="Arial"/>
        </w:rPr>
        <w:t>Geschäftszeichen</w:t>
      </w:r>
    </w:p>
    <w:p w14:paraId="0A3ECB1A" w14:textId="77777777" w:rsidR="005C72C8" w:rsidRPr="0068611C" w:rsidRDefault="00D57DE6" w:rsidP="005C72C8">
      <w:pPr>
        <w:pStyle w:val="Listenabsatz"/>
        <w:jc w:val="both"/>
        <w:rPr>
          <w:rFonts w:cs="Arial"/>
        </w:rPr>
      </w:pPr>
      <w:r w:rsidRPr="0068611C">
        <w:rPr>
          <w:rFonts w:cs="Arial"/>
        </w:rPr>
        <w:t>Max-Muster</w:t>
      </w:r>
      <w:r w:rsidR="005C72C8" w:rsidRPr="0068611C">
        <w:rPr>
          <w:rFonts w:cs="Arial"/>
        </w:rPr>
        <w:t>-Str. 1,</w:t>
      </w:r>
      <w:r w:rsidR="005C72C8" w:rsidRPr="0068611C">
        <w:rPr>
          <w:rFonts w:cs="Arial"/>
        </w:rPr>
        <w:tab/>
      </w:r>
      <w:r w:rsidR="005C72C8" w:rsidRPr="0068611C">
        <w:rPr>
          <w:rFonts w:cs="Arial"/>
        </w:rPr>
        <w:tab/>
      </w:r>
      <w:r w:rsidR="005C72C8" w:rsidRPr="0068611C">
        <w:rPr>
          <w:rFonts w:cs="Arial"/>
        </w:rPr>
        <w:tab/>
      </w:r>
      <w:r w:rsidR="005C72C8" w:rsidRPr="0068611C">
        <w:rPr>
          <w:rFonts w:cs="Arial"/>
        </w:rPr>
        <w:tab/>
      </w:r>
      <w:r w:rsidR="00677075" w:rsidRPr="0068611C">
        <w:rPr>
          <w:rFonts w:cs="Arial"/>
        </w:rPr>
        <w:tab/>
      </w:r>
      <w:r w:rsidR="00677075" w:rsidRPr="0068611C">
        <w:rPr>
          <w:rFonts w:cs="Arial"/>
        </w:rPr>
        <w:tab/>
      </w:r>
      <w:r w:rsidR="005C72C8" w:rsidRPr="0068611C">
        <w:rPr>
          <w:rFonts w:cs="Arial"/>
        </w:rPr>
        <w:t>Ober</w:t>
      </w:r>
      <w:r w:rsidRPr="0068611C">
        <w:rPr>
          <w:rFonts w:cs="Arial"/>
        </w:rPr>
        <w:t>musterdorf</w:t>
      </w:r>
      <w:r w:rsidR="005C72C8" w:rsidRPr="0068611C">
        <w:rPr>
          <w:rFonts w:cs="Arial"/>
        </w:rPr>
        <w:t xml:space="preserve"> 123/</w:t>
      </w:r>
      <w:r w:rsidRPr="0068611C">
        <w:rPr>
          <w:rFonts w:cs="Arial"/>
        </w:rPr>
        <w:t>4</w:t>
      </w:r>
      <w:r w:rsidR="005C72C8" w:rsidRPr="0068611C">
        <w:rPr>
          <w:rFonts w:cs="Arial"/>
        </w:rPr>
        <w:t>5</w:t>
      </w:r>
    </w:p>
    <w:p w14:paraId="260260EA" w14:textId="77777777" w:rsidR="005C72C8" w:rsidRPr="0068611C" w:rsidRDefault="005C72C8" w:rsidP="005C72C8">
      <w:pPr>
        <w:pStyle w:val="Listenabsatz"/>
        <w:jc w:val="both"/>
        <w:rPr>
          <w:rFonts w:cs="Arial"/>
        </w:rPr>
      </w:pPr>
    </w:p>
    <w:p w14:paraId="444CBAE3" w14:textId="77777777" w:rsidR="005C72C8" w:rsidRPr="0068611C" w:rsidRDefault="005C72C8" w:rsidP="005C72C8">
      <w:pPr>
        <w:pStyle w:val="Listenabsatz"/>
        <w:jc w:val="both"/>
        <w:rPr>
          <w:rFonts w:cs="Arial"/>
          <w:b/>
        </w:rPr>
      </w:pPr>
      <w:r w:rsidRPr="0068611C">
        <w:rPr>
          <w:rFonts w:cs="Arial"/>
          <w:b/>
        </w:rPr>
        <w:t>Kämmerei</w:t>
      </w:r>
    </w:p>
    <w:p w14:paraId="4EAA740D" w14:textId="77777777" w:rsidR="00677075" w:rsidRPr="0068611C" w:rsidRDefault="00677075" w:rsidP="005C72C8">
      <w:pPr>
        <w:pStyle w:val="Listenabsatz"/>
        <w:jc w:val="both"/>
        <w:rPr>
          <w:rFonts w:cs="Arial"/>
        </w:rPr>
      </w:pPr>
      <w:r w:rsidRPr="0068611C">
        <w:rPr>
          <w:rFonts w:cs="Arial"/>
        </w:rPr>
        <w:t>Vorgang</w:t>
      </w:r>
      <w:r w:rsidRPr="0068611C">
        <w:rPr>
          <w:rFonts w:cs="Arial"/>
        </w:rPr>
        <w:tab/>
      </w:r>
      <w:r w:rsidRPr="0068611C">
        <w:rPr>
          <w:rFonts w:cs="Arial"/>
        </w:rPr>
        <w:tab/>
      </w:r>
      <w:r w:rsidRPr="0068611C">
        <w:rPr>
          <w:rFonts w:cs="Arial"/>
        </w:rPr>
        <w:tab/>
      </w:r>
      <w:r w:rsidRPr="0068611C">
        <w:rPr>
          <w:rFonts w:cs="Arial"/>
        </w:rPr>
        <w:tab/>
      </w:r>
      <w:r w:rsidRPr="0068611C">
        <w:rPr>
          <w:rFonts w:cs="Arial"/>
        </w:rPr>
        <w:tab/>
      </w:r>
      <w:r w:rsidRPr="0068611C">
        <w:rPr>
          <w:rFonts w:cs="Arial"/>
        </w:rPr>
        <w:tab/>
      </w:r>
      <w:r w:rsidRPr="0068611C">
        <w:rPr>
          <w:rFonts w:cs="Arial"/>
        </w:rPr>
        <w:tab/>
        <w:t>Geschäftszeichen</w:t>
      </w:r>
    </w:p>
    <w:p w14:paraId="7C32EB8A" w14:textId="77777777" w:rsidR="005C72C8" w:rsidRPr="0068611C" w:rsidRDefault="005C72C8" w:rsidP="005C72C8">
      <w:pPr>
        <w:pStyle w:val="Listenabsatz"/>
        <w:jc w:val="both"/>
        <w:rPr>
          <w:rFonts w:cs="Arial"/>
        </w:rPr>
      </w:pPr>
      <w:r w:rsidRPr="0068611C">
        <w:rPr>
          <w:rFonts w:cs="Arial"/>
        </w:rPr>
        <w:t xml:space="preserve">Müller, </w:t>
      </w:r>
      <w:r w:rsidR="00D57DE6" w:rsidRPr="0068611C">
        <w:rPr>
          <w:rFonts w:cs="Arial"/>
        </w:rPr>
        <w:t>Hans</w:t>
      </w:r>
      <w:r w:rsidRPr="0068611C">
        <w:rPr>
          <w:rFonts w:cs="Arial"/>
        </w:rPr>
        <w:t xml:space="preserve"> FAD: 87630</w:t>
      </w:r>
      <w:r w:rsidRPr="0068611C">
        <w:rPr>
          <w:rFonts w:cs="Arial"/>
        </w:rPr>
        <w:tab/>
      </w:r>
      <w:r w:rsidRPr="0068611C">
        <w:rPr>
          <w:rFonts w:cs="Arial"/>
        </w:rPr>
        <w:tab/>
      </w:r>
      <w:r w:rsidRPr="0068611C">
        <w:rPr>
          <w:rFonts w:cs="Arial"/>
        </w:rPr>
        <w:tab/>
      </w:r>
      <w:r w:rsidR="00677075" w:rsidRPr="0068611C">
        <w:rPr>
          <w:rFonts w:cs="Arial"/>
        </w:rPr>
        <w:tab/>
      </w:r>
      <w:r w:rsidR="00677075" w:rsidRPr="0068611C">
        <w:rPr>
          <w:rFonts w:cs="Arial"/>
        </w:rPr>
        <w:tab/>
      </w:r>
      <w:r w:rsidR="00D57DE6" w:rsidRPr="0068611C">
        <w:rPr>
          <w:rFonts w:cs="Arial"/>
        </w:rPr>
        <w:t>321</w:t>
      </w:r>
      <w:r w:rsidR="00677075" w:rsidRPr="0068611C">
        <w:rPr>
          <w:rFonts w:cs="Arial"/>
        </w:rPr>
        <w:t>/</w:t>
      </w:r>
      <w:r w:rsidR="00D57DE6" w:rsidRPr="0068611C">
        <w:rPr>
          <w:rFonts w:cs="Arial"/>
        </w:rPr>
        <w:t>2010</w:t>
      </w:r>
    </w:p>
    <w:p w14:paraId="64700756" w14:textId="6FF1701D" w:rsidR="005C72C8" w:rsidRPr="00CB0C98" w:rsidRDefault="005C72C8" w:rsidP="00CB0C98">
      <w:pPr>
        <w:ind w:firstLine="708"/>
        <w:jc w:val="both"/>
        <w:rPr>
          <w:rFonts w:cs="Arial"/>
          <w:b/>
        </w:rPr>
      </w:pPr>
      <w:r w:rsidRPr="00CB0C98">
        <w:rPr>
          <w:rFonts w:cs="Arial"/>
          <w:b/>
        </w:rPr>
        <w:lastRenderedPageBreak/>
        <w:t>Allgemein</w:t>
      </w:r>
      <w:r w:rsidR="00677075" w:rsidRPr="00CB0C98">
        <w:rPr>
          <w:rFonts w:cs="Arial"/>
          <w:b/>
        </w:rPr>
        <w:t xml:space="preserve"> Dokumentenablage</w:t>
      </w:r>
    </w:p>
    <w:p w14:paraId="1C66EBD1" w14:textId="77777777" w:rsidR="00C41FB4" w:rsidRPr="0068611C" w:rsidRDefault="00C41FB4" w:rsidP="005C72C8">
      <w:pPr>
        <w:pStyle w:val="Listenabsatz"/>
        <w:jc w:val="both"/>
        <w:rPr>
          <w:rFonts w:cs="Arial"/>
          <w:b/>
        </w:rPr>
      </w:pPr>
    </w:p>
    <w:tbl>
      <w:tblPr>
        <w:tblStyle w:val="Tabellen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1407"/>
        <w:gridCol w:w="2162"/>
        <w:gridCol w:w="1954"/>
      </w:tblGrid>
      <w:tr w:rsidR="00C41FB4" w:rsidRPr="0068611C" w14:paraId="7E585C61" w14:textId="77777777" w:rsidTr="00C41FB4">
        <w:tc>
          <w:tcPr>
            <w:tcW w:w="3103" w:type="dxa"/>
          </w:tcPr>
          <w:p w14:paraId="290ECE30" w14:textId="668497DD" w:rsidR="00C41FB4" w:rsidRPr="0068611C" w:rsidRDefault="00C41FB4" w:rsidP="005C72C8">
            <w:pPr>
              <w:pStyle w:val="Listenabsatz"/>
              <w:ind w:left="0"/>
              <w:jc w:val="both"/>
              <w:rPr>
                <w:rFonts w:cs="Arial"/>
              </w:rPr>
            </w:pPr>
            <w:r w:rsidRPr="0068611C">
              <w:rPr>
                <w:rFonts w:cs="Arial"/>
              </w:rPr>
              <w:t>Name</w:t>
            </w:r>
            <w:r w:rsidRPr="0068611C">
              <w:rPr>
                <w:rFonts w:cs="Arial"/>
              </w:rPr>
              <w:tab/>
            </w:r>
          </w:p>
        </w:tc>
        <w:tc>
          <w:tcPr>
            <w:tcW w:w="1407" w:type="dxa"/>
          </w:tcPr>
          <w:p w14:paraId="3808D656" w14:textId="1571A3B3" w:rsidR="00C41FB4" w:rsidRPr="0068611C" w:rsidRDefault="00C41FB4" w:rsidP="005C72C8">
            <w:pPr>
              <w:pStyle w:val="Listenabsatz"/>
              <w:ind w:left="0"/>
              <w:jc w:val="both"/>
              <w:rPr>
                <w:rFonts w:cs="Arial"/>
              </w:rPr>
            </w:pPr>
            <w:r w:rsidRPr="0068611C">
              <w:rPr>
                <w:rFonts w:cs="Arial"/>
              </w:rPr>
              <w:t>Kategorie</w:t>
            </w:r>
          </w:p>
        </w:tc>
        <w:tc>
          <w:tcPr>
            <w:tcW w:w="2162" w:type="dxa"/>
          </w:tcPr>
          <w:p w14:paraId="46138559" w14:textId="0C71F4BD" w:rsidR="00C41FB4" w:rsidRPr="0068611C" w:rsidRDefault="00C41FB4" w:rsidP="005C72C8">
            <w:pPr>
              <w:pStyle w:val="Listenabsatz"/>
              <w:ind w:left="0"/>
              <w:jc w:val="both"/>
              <w:rPr>
                <w:rFonts w:cs="Arial"/>
              </w:rPr>
            </w:pPr>
            <w:r w:rsidRPr="0068611C">
              <w:rPr>
                <w:rFonts w:cs="Arial"/>
              </w:rPr>
              <w:t>Beschreibung</w:t>
            </w:r>
            <w:r w:rsidRPr="0068611C">
              <w:rPr>
                <w:rFonts w:cs="Arial"/>
              </w:rPr>
              <w:tab/>
            </w:r>
          </w:p>
        </w:tc>
        <w:tc>
          <w:tcPr>
            <w:tcW w:w="1954" w:type="dxa"/>
          </w:tcPr>
          <w:p w14:paraId="75EF7495" w14:textId="0AC4D28C" w:rsidR="00C41FB4" w:rsidRPr="0068611C" w:rsidRDefault="00C41FB4" w:rsidP="005C72C8">
            <w:pPr>
              <w:pStyle w:val="Listenabsatz"/>
              <w:ind w:left="0"/>
              <w:jc w:val="both"/>
              <w:rPr>
                <w:rFonts w:cs="Arial"/>
              </w:rPr>
            </w:pPr>
            <w:r w:rsidRPr="0068611C">
              <w:rPr>
                <w:rFonts w:cs="Arial"/>
              </w:rPr>
              <w:t>Datum</w:t>
            </w:r>
          </w:p>
        </w:tc>
      </w:tr>
      <w:tr w:rsidR="00C41FB4" w:rsidRPr="0068611C" w14:paraId="7BB3195E" w14:textId="77777777" w:rsidTr="00C41FB4">
        <w:tc>
          <w:tcPr>
            <w:tcW w:w="3103" w:type="dxa"/>
          </w:tcPr>
          <w:p w14:paraId="4154D0FC" w14:textId="77777777" w:rsidR="00C41FB4" w:rsidRPr="0068611C" w:rsidRDefault="00C41FB4" w:rsidP="00C41FB4">
            <w:pPr>
              <w:pStyle w:val="Listenabsatz"/>
              <w:ind w:left="0"/>
              <w:rPr>
                <w:rFonts w:cs="Arial"/>
              </w:rPr>
            </w:pPr>
            <w:r w:rsidRPr="0068611C">
              <w:rPr>
                <w:rFonts w:cs="Arial"/>
              </w:rPr>
              <w:t>Ablehnungsbescheid XY 01.04.2018</w:t>
            </w:r>
          </w:p>
          <w:p w14:paraId="3FF64A89" w14:textId="57C1CFFC" w:rsidR="00C41FB4" w:rsidRPr="0068611C" w:rsidRDefault="00C41FB4" w:rsidP="00C41FB4">
            <w:pPr>
              <w:pStyle w:val="Listenabsatz"/>
              <w:ind w:left="0"/>
              <w:rPr>
                <w:rFonts w:cs="Arial"/>
              </w:rPr>
            </w:pPr>
          </w:p>
        </w:tc>
        <w:tc>
          <w:tcPr>
            <w:tcW w:w="1407" w:type="dxa"/>
          </w:tcPr>
          <w:p w14:paraId="66963C1D" w14:textId="507A7F6A" w:rsidR="00C41FB4" w:rsidRPr="0068611C" w:rsidRDefault="00C41FB4" w:rsidP="005C72C8">
            <w:pPr>
              <w:pStyle w:val="Listenabsatz"/>
              <w:ind w:left="0"/>
              <w:jc w:val="both"/>
              <w:rPr>
                <w:rFonts w:cs="Arial"/>
              </w:rPr>
            </w:pPr>
            <w:r w:rsidRPr="0068611C">
              <w:rPr>
                <w:rFonts w:cs="Arial"/>
              </w:rPr>
              <w:t>Bescheid</w:t>
            </w:r>
          </w:p>
        </w:tc>
        <w:tc>
          <w:tcPr>
            <w:tcW w:w="2162" w:type="dxa"/>
          </w:tcPr>
          <w:p w14:paraId="2C8D1647" w14:textId="4F306350" w:rsidR="00C41FB4" w:rsidRPr="0068611C" w:rsidRDefault="00C41FB4" w:rsidP="005C72C8">
            <w:pPr>
              <w:pStyle w:val="Listenabsatz"/>
              <w:ind w:left="0"/>
              <w:jc w:val="both"/>
              <w:rPr>
                <w:rFonts w:cs="Arial"/>
              </w:rPr>
            </w:pPr>
            <w:r w:rsidRPr="0068611C">
              <w:rPr>
                <w:rFonts w:cs="Arial"/>
              </w:rPr>
              <w:t>Rechtswirksam</w:t>
            </w:r>
          </w:p>
        </w:tc>
        <w:tc>
          <w:tcPr>
            <w:tcW w:w="1954" w:type="dxa"/>
          </w:tcPr>
          <w:p w14:paraId="3B9C714B" w14:textId="699A872B" w:rsidR="00C41FB4" w:rsidRPr="0068611C" w:rsidRDefault="00C41FB4" w:rsidP="005C72C8">
            <w:pPr>
              <w:pStyle w:val="Listenabsatz"/>
              <w:ind w:left="0"/>
              <w:jc w:val="both"/>
              <w:rPr>
                <w:rFonts w:cs="Arial"/>
              </w:rPr>
            </w:pPr>
            <w:r w:rsidRPr="0068611C">
              <w:rPr>
                <w:rFonts w:cs="Arial"/>
              </w:rPr>
              <w:t>05.05.2018</w:t>
            </w:r>
          </w:p>
        </w:tc>
      </w:tr>
      <w:tr w:rsidR="00C41FB4" w:rsidRPr="0068611C" w14:paraId="498AFE2C" w14:textId="77777777" w:rsidTr="00C41FB4">
        <w:tc>
          <w:tcPr>
            <w:tcW w:w="3103" w:type="dxa"/>
          </w:tcPr>
          <w:p w14:paraId="51B1EACE" w14:textId="77777777" w:rsidR="00C41FB4" w:rsidRPr="0068611C" w:rsidRDefault="00C41FB4" w:rsidP="005C72C8">
            <w:pPr>
              <w:pStyle w:val="Listenabsatz"/>
              <w:ind w:left="0"/>
              <w:jc w:val="both"/>
              <w:rPr>
                <w:rFonts w:cs="Arial"/>
              </w:rPr>
            </w:pPr>
            <w:r w:rsidRPr="0068611C">
              <w:rPr>
                <w:rFonts w:cs="Arial"/>
              </w:rPr>
              <w:t>Angebot Fa. Mustermann</w:t>
            </w:r>
            <w:r w:rsidRPr="0068611C">
              <w:rPr>
                <w:rFonts w:cs="Arial"/>
              </w:rPr>
              <w:tab/>
            </w:r>
          </w:p>
          <w:p w14:paraId="1FDB35B2" w14:textId="395D9FA2" w:rsidR="00C41FB4" w:rsidRPr="0068611C" w:rsidRDefault="00C41FB4" w:rsidP="005C72C8">
            <w:pPr>
              <w:pStyle w:val="Listenabsatz"/>
              <w:ind w:left="0"/>
              <w:jc w:val="both"/>
              <w:rPr>
                <w:rFonts w:cs="Arial"/>
              </w:rPr>
            </w:pPr>
            <w:r w:rsidRPr="0068611C">
              <w:rPr>
                <w:rFonts w:cs="Arial"/>
              </w:rPr>
              <w:t>02.03.2019</w:t>
            </w:r>
          </w:p>
        </w:tc>
        <w:tc>
          <w:tcPr>
            <w:tcW w:w="1407" w:type="dxa"/>
          </w:tcPr>
          <w:p w14:paraId="37A7C375" w14:textId="0F83BE38" w:rsidR="00C41FB4" w:rsidRPr="0068611C" w:rsidRDefault="00C41FB4" w:rsidP="005C72C8">
            <w:pPr>
              <w:pStyle w:val="Listenabsatz"/>
              <w:ind w:left="0"/>
              <w:jc w:val="both"/>
              <w:rPr>
                <w:rFonts w:cs="Arial"/>
              </w:rPr>
            </w:pPr>
            <w:r w:rsidRPr="0068611C">
              <w:rPr>
                <w:rFonts w:cs="Arial"/>
              </w:rPr>
              <w:t>Angebot</w:t>
            </w:r>
          </w:p>
        </w:tc>
        <w:tc>
          <w:tcPr>
            <w:tcW w:w="2162" w:type="dxa"/>
          </w:tcPr>
          <w:p w14:paraId="3A023885" w14:textId="63DBA89C" w:rsidR="00C41FB4" w:rsidRPr="0068611C" w:rsidRDefault="00C41FB4" w:rsidP="005C72C8">
            <w:pPr>
              <w:pStyle w:val="Listenabsatz"/>
              <w:ind w:left="0"/>
              <w:jc w:val="both"/>
              <w:rPr>
                <w:rFonts w:cs="Arial"/>
              </w:rPr>
            </w:pPr>
            <w:r w:rsidRPr="0068611C">
              <w:rPr>
                <w:rFonts w:cs="Arial"/>
              </w:rPr>
              <w:t>Abgelehnt</w:t>
            </w:r>
          </w:p>
        </w:tc>
        <w:tc>
          <w:tcPr>
            <w:tcW w:w="1954" w:type="dxa"/>
          </w:tcPr>
          <w:p w14:paraId="023F1811" w14:textId="255630FF" w:rsidR="00C41FB4" w:rsidRPr="0068611C" w:rsidRDefault="00C41FB4" w:rsidP="005C72C8">
            <w:pPr>
              <w:pStyle w:val="Listenabsatz"/>
              <w:ind w:left="0"/>
              <w:jc w:val="both"/>
              <w:rPr>
                <w:rFonts w:cs="Arial"/>
              </w:rPr>
            </w:pPr>
            <w:r w:rsidRPr="0068611C">
              <w:rPr>
                <w:rFonts w:cs="Arial"/>
              </w:rPr>
              <w:t>05.03.2019</w:t>
            </w:r>
          </w:p>
        </w:tc>
      </w:tr>
    </w:tbl>
    <w:p w14:paraId="3DA65A47" w14:textId="77777777" w:rsidR="0035618C" w:rsidRPr="00C41FB4" w:rsidRDefault="0035618C" w:rsidP="00C41FB4">
      <w:pPr>
        <w:jc w:val="both"/>
        <w:rPr>
          <w:rFonts w:ascii="Verdana" w:hAnsi="Verdana" w:cs="Arial"/>
        </w:rPr>
      </w:pPr>
    </w:p>
    <w:p w14:paraId="31E22AB0" w14:textId="0F994C0E" w:rsidR="00E22B60" w:rsidRPr="00826294" w:rsidRDefault="00E22B60" w:rsidP="0068611C">
      <w:pPr>
        <w:pStyle w:val="StandardNummerierung"/>
      </w:pPr>
      <w:r w:rsidRPr="00826294">
        <w:t>Die abgelegten Dokumente sind zum Zweck der Übersicht</w:t>
      </w:r>
      <w:r w:rsidR="008A6863" w:rsidRPr="00826294">
        <w:t>lichkeit</w:t>
      </w:r>
      <w:r w:rsidRPr="00826294">
        <w:t xml:space="preserve"> und Nachverfolgung immer mit Kategorien zu versehen</w:t>
      </w:r>
      <w:r w:rsidR="00C356BE">
        <w:t>.</w:t>
      </w:r>
    </w:p>
    <w:p w14:paraId="4C8C740F" w14:textId="3252C052" w:rsidR="005E315D" w:rsidRPr="00826294" w:rsidRDefault="00E22B60" w:rsidP="0068611C">
      <w:pPr>
        <w:pStyle w:val="StandardNummerierung"/>
      </w:pPr>
      <w:r w:rsidRPr="00826294">
        <w:t>Es sind die vorgegebenen Kategorien zu verwenden. Bei</w:t>
      </w:r>
      <w:r w:rsidR="00C356BE">
        <w:t xml:space="preserve"> </w:t>
      </w:r>
      <w:r w:rsidRPr="00826294">
        <w:t xml:space="preserve">Bedarf können neue Kategorien </w:t>
      </w:r>
      <w:r w:rsidR="00C356BE">
        <w:t>in</w:t>
      </w:r>
      <w:r w:rsidRPr="00826294">
        <w:t xml:space="preserve"> Absprache </w:t>
      </w:r>
      <w:r w:rsidR="00C356BE">
        <w:t xml:space="preserve">mit </w:t>
      </w:r>
      <w:r w:rsidR="00BF3E3F">
        <w:t>der/</w:t>
      </w:r>
      <w:r w:rsidR="00C356BE">
        <w:t>dem</w:t>
      </w:r>
      <w:r w:rsidRPr="00826294">
        <w:t xml:space="preserve"> Geschäftsstellenleiter</w:t>
      </w:r>
      <w:r w:rsidR="00BF3E3F">
        <w:t>/-in</w:t>
      </w:r>
      <w:r w:rsidRPr="00826294">
        <w:t xml:space="preserve"> du</w:t>
      </w:r>
      <w:r w:rsidR="005E315D" w:rsidRPr="00826294">
        <w:t>rc</w:t>
      </w:r>
      <w:r w:rsidR="00C7407D" w:rsidRPr="00826294">
        <w:t xml:space="preserve">h </w:t>
      </w:r>
      <w:r w:rsidR="00BF3E3F">
        <w:t>die/</w:t>
      </w:r>
      <w:r w:rsidR="00C7407D" w:rsidRPr="00826294">
        <w:t>den Systemadministrator</w:t>
      </w:r>
      <w:r w:rsidR="00BF3E3F">
        <w:t>/-in</w:t>
      </w:r>
      <w:r w:rsidR="005E315D" w:rsidRPr="00826294">
        <w:t xml:space="preserve"> eingerichtet werden.</w:t>
      </w:r>
    </w:p>
    <w:p w14:paraId="434D4049" w14:textId="7BC3780B" w:rsidR="00807512" w:rsidRPr="00826294" w:rsidRDefault="005E315D" w:rsidP="0068611C">
      <w:pPr>
        <w:pStyle w:val="StandardNummerierung"/>
      </w:pPr>
      <w:r w:rsidRPr="00826294">
        <w:t xml:space="preserve">Die abgelegten Dokumente sollten </w:t>
      </w:r>
      <w:r w:rsidR="00C356BE">
        <w:t>falls</w:t>
      </w:r>
      <w:r w:rsidRPr="00826294">
        <w:t xml:space="preserve"> notwendig mit einer kurz</w:t>
      </w:r>
      <w:r w:rsidR="00807512" w:rsidRPr="00826294">
        <w:t>en Beschreibung abgelegt werden.</w:t>
      </w:r>
    </w:p>
    <w:p w14:paraId="05A80C63" w14:textId="77777777" w:rsidR="00807512" w:rsidRPr="00826294" w:rsidRDefault="00807512" w:rsidP="00040FDB">
      <w:pPr>
        <w:pStyle w:val="berschrift1"/>
      </w:pPr>
      <w:bookmarkStart w:id="13" w:name="_Toc143003957"/>
      <w:r w:rsidRPr="00826294">
        <w:t>Fachverfahren</w:t>
      </w:r>
      <w:bookmarkEnd w:id="13"/>
    </w:p>
    <w:p w14:paraId="1AEFD99B" w14:textId="77777777" w:rsidR="00807512" w:rsidRPr="00826294" w:rsidRDefault="00807512" w:rsidP="0068611C">
      <w:pPr>
        <w:pStyle w:val="StandardNummerierung"/>
      </w:pPr>
      <w:r w:rsidRPr="00826294">
        <w:t>Die Einbindung in d</w:t>
      </w:r>
      <w:r w:rsidR="00A00EAE" w:rsidRPr="00826294">
        <w:t>ie</w:t>
      </w:r>
      <w:r w:rsidRPr="00826294">
        <w:t xml:space="preserve"> jeweilige</w:t>
      </w:r>
      <w:r w:rsidR="00397A30" w:rsidRPr="00826294">
        <w:t>n</w:t>
      </w:r>
      <w:r w:rsidRPr="00826294">
        <w:t xml:space="preserve"> Fachverfahren </w:t>
      </w:r>
      <w:r w:rsidR="00A00EAE" w:rsidRPr="00826294">
        <w:t>ist</w:t>
      </w:r>
      <w:r w:rsidRPr="00826294">
        <w:t xml:space="preserve"> gem. Einweisung zu nutzen.</w:t>
      </w:r>
    </w:p>
    <w:p w14:paraId="7E7BC627" w14:textId="77777777" w:rsidR="00807512" w:rsidRPr="00826294" w:rsidRDefault="00807512" w:rsidP="00040FDB">
      <w:pPr>
        <w:pStyle w:val="berschrift1"/>
      </w:pPr>
      <w:bookmarkStart w:id="14" w:name="_Toc143003958"/>
      <w:r w:rsidRPr="00826294">
        <w:t>Verhalten bei Störungen</w:t>
      </w:r>
      <w:bookmarkEnd w:id="14"/>
    </w:p>
    <w:p w14:paraId="6D6DC4DF" w14:textId="6E053C4E" w:rsidR="00807512" w:rsidRPr="00826294" w:rsidRDefault="00807512" w:rsidP="0068611C">
      <w:pPr>
        <w:pStyle w:val="StandardNummerierung"/>
      </w:pPr>
      <w:r w:rsidRPr="00826294">
        <w:t>Bei Störungen und Fehler</w:t>
      </w:r>
      <w:r w:rsidR="001029F9" w:rsidRPr="00826294">
        <w:t>n</w:t>
      </w:r>
      <w:r w:rsidR="00C7407D" w:rsidRPr="00826294">
        <w:t xml:space="preserve"> ist </w:t>
      </w:r>
      <w:r w:rsidR="004946FC">
        <w:t>die/</w:t>
      </w:r>
      <w:r w:rsidR="00C7407D" w:rsidRPr="00826294">
        <w:t>der Systemadministrator</w:t>
      </w:r>
      <w:r w:rsidR="004946FC">
        <w:t>/-in</w:t>
      </w:r>
      <w:r w:rsidRPr="00826294">
        <w:t xml:space="preserve"> zu verständigen.</w:t>
      </w:r>
    </w:p>
    <w:p w14:paraId="27267ED9" w14:textId="77777777" w:rsidR="00A00EAE" w:rsidRPr="00826294" w:rsidRDefault="00A00EAE" w:rsidP="00040FDB">
      <w:pPr>
        <w:pStyle w:val="berschrift1"/>
      </w:pPr>
      <w:bookmarkStart w:id="15" w:name="_Toc143003959"/>
      <w:r w:rsidRPr="00826294">
        <w:t>Aktenvernichtung / Datenschutz</w:t>
      </w:r>
      <w:bookmarkEnd w:id="15"/>
    </w:p>
    <w:p w14:paraId="0ADD0A99" w14:textId="11FB7916" w:rsidR="00A00EAE" w:rsidRPr="00826294" w:rsidRDefault="00A00EAE" w:rsidP="0068611C">
      <w:pPr>
        <w:pStyle w:val="StandardNummerierung"/>
      </w:pPr>
      <w:r w:rsidRPr="00826294">
        <w:t xml:space="preserve">Bei </w:t>
      </w:r>
      <w:r w:rsidR="006D632A" w:rsidRPr="00826294">
        <w:t>nunmehr entbehrlichen</w:t>
      </w:r>
      <w:r w:rsidRPr="00826294">
        <w:t xml:space="preserve"> Papierunterlagen ist darauf zu achten, dass der Papierabfall aus den Papiereimern bei den Schreibtischen über die reguläre Papiertonne entsorgt wird. </w:t>
      </w:r>
      <w:r w:rsidRPr="00826294">
        <w:rPr>
          <w:b/>
        </w:rPr>
        <w:t xml:space="preserve">Schriftstücke mit </w:t>
      </w:r>
      <w:r w:rsidR="006D632A" w:rsidRPr="00826294">
        <w:rPr>
          <w:b/>
        </w:rPr>
        <w:t xml:space="preserve">datenschutzrechtlich </w:t>
      </w:r>
      <w:r w:rsidRPr="00826294">
        <w:rPr>
          <w:b/>
        </w:rPr>
        <w:t xml:space="preserve">relevanten Inhalten müssen von </w:t>
      </w:r>
      <w:r w:rsidR="004946FC">
        <w:rPr>
          <w:b/>
        </w:rPr>
        <w:t>jeder/</w:t>
      </w:r>
      <w:r w:rsidRPr="00826294">
        <w:rPr>
          <w:b/>
        </w:rPr>
        <w:t>jedem Mitarbeiter</w:t>
      </w:r>
      <w:r w:rsidR="004946FC">
        <w:rPr>
          <w:b/>
        </w:rPr>
        <w:t>/-in</w:t>
      </w:r>
      <w:r w:rsidRPr="00826294">
        <w:rPr>
          <w:b/>
        </w:rPr>
        <w:t xml:space="preserve"> selbst in die zentrale Sammelstelle </w:t>
      </w:r>
      <w:r w:rsidRPr="00826294">
        <w:t xml:space="preserve">für eine unregelmäßige datenschutzkonforme Vernichtung </w:t>
      </w:r>
      <w:r w:rsidR="00C356BE">
        <w:t>ge</w:t>
      </w:r>
      <w:r w:rsidRPr="00826294">
        <w:t>bracht werden.</w:t>
      </w:r>
    </w:p>
    <w:p w14:paraId="5CEC5929" w14:textId="6AE3BFF9" w:rsidR="00E41298" w:rsidRPr="00826294" w:rsidRDefault="00A00EAE" w:rsidP="0068611C">
      <w:pPr>
        <w:pStyle w:val="StandardNummerierung"/>
      </w:pPr>
      <w:r w:rsidRPr="00826294">
        <w:t>Offenliegende Vorgänge am Schreibtisch</w:t>
      </w:r>
      <w:r w:rsidR="006D632A" w:rsidRPr="00826294">
        <w:t>,</w:t>
      </w:r>
      <w:r w:rsidR="00EF18AC" w:rsidRPr="00826294">
        <w:t xml:space="preserve"> </w:t>
      </w:r>
      <w:r w:rsidR="006D632A" w:rsidRPr="00826294">
        <w:t>Scanner oder am Bildschirm sind vor der Kenntnisnahme, Manipulation und Inbesitznahme durch Unbefugte zu schützen.</w:t>
      </w:r>
    </w:p>
    <w:p w14:paraId="722561F8" w14:textId="77777777" w:rsidR="00397A30" w:rsidRPr="00826294" w:rsidRDefault="00397A30" w:rsidP="00040FDB">
      <w:pPr>
        <w:pStyle w:val="berschrift1"/>
      </w:pPr>
      <w:bookmarkStart w:id="16" w:name="_Toc143003960"/>
      <w:r w:rsidRPr="00826294">
        <w:lastRenderedPageBreak/>
        <w:t>In Zusammenhang stehende Regelungen / Anpassung / Verteilung</w:t>
      </w:r>
      <w:bookmarkEnd w:id="16"/>
    </w:p>
    <w:p w14:paraId="1F2C4C66" w14:textId="77777777" w:rsidR="00C26839" w:rsidRPr="00826294" w:rsidRDefault="00E41298" w:rsidP="0068611C">
      <w:pPr>
        <w:pStyle w:val="StandardNummerierung"/>
      </w:pPr>
      <w:r w:rsidRPr="00826294">
        <w:t>Weitere</w:t>
      </w:r>
      <w:r w:rsidR="00397A30" w:rsidRPr="00826294">
        <w:t xml:space="preserve"> Details</w:t>
      </w:r>
      <w:r w:rsidRPr="00826294">
        <w:t xml:space="preserve"> regeln die Vorschriften und Dienstanweisungen zum Datenschutz und</w:t>
      </w:r>
      <w:r w:rsidR="00397A30" w:rsidRPr="00826294">
        <w:t xml:space="preserve"> zur </w:t>
      </w:r>
      <w:r w:rsidRPr="00826294">
        <w:t>Informationssicherheit.</w:t>
      </w:r>
    </w:p>
    <w:p w14:paraId="017BAEB7" w14:textId="77777777" w:rsidR="00C26839" w:rsidRPr="00826294" w:rsidRDefault="00C26839" w:rsidP="0068611C">
      <w:pPr>
        <w:pStyle w:val="StandardNummerierung"/>
      </w:pPr>
      <w:r w:rsidRPr="00826294">
        <w:t xml:space="preserve">Diese Dienstanweisung unterliegt der aktiven Bearbeitung </w:t>
      </w:r>
      <w:r w:rsidR="00397A30" w:rsidRPr="00826294">
        <w:t xml:space="preserve">aus Erfahrungen </w:t>
      </w:r>
      <w:r w:rsidRPr="00826294">
        <w:t>und kann bei Bedarf geändert</w:t>
      </w:r>
      <w:r w:rsidR="00397A30" w:rsidRPr="00826294">
        <w:t xml:space="preserve"> </w:t>
      </w:r>
      <w:r w:rsidRPr="00826294">
        <w:t>und angepasst werden.</w:t>
      </w:r>
    </w:p>
    <w:p w14:paraId="00EA44CD" w14:textId="77777777" w:rsidR="00D54056" w:rsidRPr="00826294" w:rsidRDefault="00D54056" w:rsidP="0068611C">
      <w:pPr>
        <w:pStyle w:val="StandardNummerierung"/>
      </w:pPr>
      <w:r w:rsidRPr="00826294">
        <w:t>Alle Verwaltungsmitarbeiter erhalten eine Ausfertigung dieser Dienstanweisung.</w:t>
      </w:r>
    </w:p>
    <w:p w14:paraId="365E274B" w14:textId="77777777" w:rsidR="00D54056" w:rsidRPr="00826294" w:rsidRDefault="00D54056" w:rsidP="006D632A">
      <w:pPr>
        <w:jc w:val="both"/>
        <w:rPr>
          <w:rFonts w:ascii="Verdana" w:hAnsi="Verdana"/>
        </w:rPr>
      </w:pPr>
    </w:p>
    <w:p w14:paraId="55163DC6" w14:textId="77777777" w:rsidR="00D54056" w:rsidRPr="00826294" w:rsidRDefault="00D54056" w:rsidP="0068611C">
      <w:r w:rsidRPr="00826294">
        <w:t>Di</w:t>
      </w:r>
      <w:r w:rsidR="00C7407D" w:rsidRPr="00826294">
        <w:t xml:space="preserve">ese Dienstanweisung tritt mit </w:t>
      </w:r>
      <w:r w:rsidR="00D57DE6" w:rsidRPr="00826294">
        <w:rPr>
          <w:b/>
        </w:rPr>
        <w:t>&gt;Datum&lt;</w:t>
      </w:r>
      <w:r w:rsidR="00D57DE6" w:rsidRPr="00826294">
        <w:t xml:space="preserve"> </w:t>
      </w:r>
      <w:r w:rsidRPr="00826294">
        <w:t>in Kraft und ist ab diesem Datum zwingend zu berücksichtigen.</w:t>
      </w:r>
    </w:p>
    <w:p w14:paraId="514CB822" w14:textId="77777777" w:rsidR="00D54056" w:rsidRPr="00826294" w:rsidRDefault="00D54056" w:rsidP="0068611C"/>
    <w:p w14:paraId="0740DD14" w14:textId="77777777" w:rsidR="00D54056" w:rsidRPr="00826294" w:rsidRDefault="00D57DE6" w:rsidP="0068611C">
      <w:r w:rsidRPr="00826294">
        <w:t>Musterort</w:t>
      </w:r>
      <w:r w:rsidR="00C7407D" w:rsidRPr="00826294">
        <w:t xml:space="preserve">, </w:t>
      </w:r>
      <w:r w:rsidRPr="00826294">
        <w:t>Datum</w:t>
      </w:r>
    </w:p>
    <w:p w14:paraId="39D8B6CB" w14:textId="25581DD3" w:rsidR="00D54056" w:rsidRPr="004946FC" w:rsidRDefault="00D54056" w:rsidP="004946FC">
      <w:r w:rsidRPr="00826294">
        <w:t xml:space="preserve">Gemeinde </w:t>
      </w:r>
      <w:r w:rsidR="00D57DE6" w:rsidRPr="00826294">
        <w:t>Musterort</w:t>
      </w:r>
    </w:p>
    <w:p w14:paraId="49E969A7" w14:textId="77777777" w:rsidR="00D54056" w:rsidRPr="00826294" w:rsidRDefault="00D54056" w:rsidP="00397A30">
      <w:pPr>
        <w:spacing w:line="240" w:lineRule="auto"/>
        <w:jc w:val="both"/>
        <w:rPr>
          <w:rFonts w:ascii="Verdana" w:hAnsi="Verdana" w:cs="Arial"/>
        </w:rPr>
      </w:pPr>
    </w:p>
    <w:p w14:paraId="65DB339E" w14:textId="77777777" w:rsidR="004946FC" w:rsidRDefault="004946FC" w:rsidP="0068611C">
      <w:r>
        <w:t>Unterschrift</w:t>
      </w:r>
    </w:p>
    <w:p w14:paraId="1A8718B1" w14:textId="6C7F2C81" w:rsidR="00D54056" w:rsidRPr="00826294" w:rsidRDefault="004946FC" w:rsidP="0068611C">
      <w:r>
        <w:t>_________________________</w:t>
      </w:r>
      <w:r w:rsidR="00397A30" w:rsidRPr="00826294">
        <w:br/>
      </w:r>
      <w:r w:rsidR="00D54056" w:rsidRPr="00826294">
        <w:t>1. Bürgermeister</w:t>
      </w:r>
      <w:r>
        <w:t>/-in</w:t>
      </w:r>
    </w:p>
    <w:sectPr w:rsidR="00D54056" w:rsidRPr="00826294" w:rsidSect="00282D4F">
      <w:footerReference w:type="default" r:id="rId13"/>
      <w:footerReference w:type="first" r:id="rId14"/>
      <w:pgSz w:w="11906" w:h="16838"/>
      <w:pgMar w:top="1803" w:right="1133" w:bottom="1134" w:left="1417"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066E" w14:textId="77777777" w:rsidR="00DC1DC5" w:rsidRDefault="00DC1DC5" w:rsidP="00D54056">
      <w:pPr>
        <w:spacing w:after="0" w:line="240" w:lineRule="auto"/>
      </w:pPr>
      <w:r>
        <w:separator/>
      </w:r>
    </w:p>
  </w:endnote>
  <w:endnote w:type="continuationSeparator" w:id="0">
    <w:p w14:paraId="6151E97B" w14:textId="77777777" w:rsidR="00DC1DC5" w:rsidRDefault="00DC1DC5" w:rsidP="00D5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BBFF" w14:textId="5109EE26" w:rsidR="00397A30" w:rsidRPr="00203F7F" w:rsidRDefault="00BC3D04" w:rsidP="00203F7F">
    <w:pPr>
      <w:pStyle w:val="Fuzeile"/>
      <w:pBdr>
        <w:top w:val="single" w:sz="4" w:space="1" w:color="auto"/>
      </w:pBdr>
      <w:spacing w:line="276" w:lineRule="auto"/>
      <w:rPr>
        <w:rFonts w:cs="Arial"/>
        <w:sz w:val="20"/>
        <w:szCs w:val="20"/>
      </w:rPr>
    </w:pPr>
    <w:r w:rsidRPr="00203F7F">
      <w:rPr>
        <w:sz w:val="20"/>
        <w:szCs w:val="20"/>
      </w:rPr>
      <w:t xml:space="preserve">Dienstanweisung </w:t>
    </w:r>
    <w:r w:rsidRPr="00203F7F">
      <w:rPr>
        <w:rFonts w:cs="Arial"/>
        <w:sz w:val="20"/>
        <w:szCs w:val="20"/>
      </w:rPr>
      <w:t xml:space="preserve">Gemeinde XXX </w:t>
    </w:r>
    <w:r w:rsidRPr="00203F7F">
      <w:rPr>
        <w:rFonts w:cs="Arial"/>
        <w:sz w:val="20"/>
        <w:szCs w:val="20"/>
      </w:rPr>
      <w:tab/>
    </w:r>
    <w:r w:rsidRPr="00203F7F">
      <w:rPr>
        <w:rFonts w:cs="Arial"/>
        <w:sz w:val="20"/>
        <w:szCs w:val="20"/>
      </w:rPr>
      <w:tab/>
    </w:r>
    <w:r w:rsidR="00397A30" w:rsidRPr="00203F7F">
      <w:rPr>
        <w:rFonts w:cs="Arial"/>
        <w:sz w:val="20"/>
        <w:szCs w:val="20"/>
      </w:rPr>
      <w:t xml:space="preserve">Seite </w:t>
    </w:r>
    <w:r w:rsidR="00397A30" w:rsidRPr="00203F7F">
      <w:rPr>
        <w:rFonts w:cs="Arial"/>
        <w:b/>
        <w:sz w:val="20"/>
        <w:szCs w:val="20"/>
      </w:rPr>
      <w:fldChar w:fldCharType="begin"/>
    </w:r>
    <w:r w:rsidR="00397A30" w:rsidRPr="00203F7F">
      <w:rPr>
        <w:rFonts w:cs="Arial"/>
        <w:b/>
        <w:sz w:val="20"/>
        <w:szCs w:val="20"/>
      </w:rPr>
      <w:instrText>PAGE  \* Arabic  \* MERGEFORMAT</w:instrText>
    </w:r>
    <w:r w:rsidR="00397A30" w:rsidRPr="00203F7F">
      <w:rPr>
        <w:rFonts w:cs="Arial"/>
        <w:b/>
        <w:sz w:val="20"/>
        <w:szCs w:val="20"/>
      </w:rPr>
      <w:fldChar w:fldCharType="separate"/>
    </w:r>
    <w:r w:rsidR="00C7407D" w:rsidRPr="00203F7F">
      <w:rPr>
        <w:rFonts w:cs="Arial"/>
        <w:b/>
        <w:noProof/>
        <w:sz w:val="20"/>
        <w:szCs w:val="20"/>
      </w:rPr>
      <w:t>4</w:t>
    </w:r>
    <w:r w:rsidR="00397A30" w:rsidRPr="00203F7F">
      <w:rPr>
        <w:rFonts w:cs="Arial"/>
        <w:b/>
        <w:sz w:val="20"/>
        <w:szCs w:val="20"/>
      </w:rPr>
      <w:fldChar w:fldCharType="end"/>
    </w:r>
    <w:r w:rsidR="00397A30" w:rsidRPr="00203F7F">
      <w:rPr>
        <w:rFonts w:cs="Arial"/>
        <w:sz w:val="20"/>
        <w:szCs w:val="20"/>
      </w:rPr>
      <w:t xml:space="preserve"> von </w:t>
    </w:r>
    <w:r w:rsidR="00397A30" w:rsidRPr="00203F7F">
      <w:rPr>
        <w:rFonts w:cs="Arial"/>
        <w:b/>
        <w:sz w:val="20"/>
        <w:szCs w:val="20"/>
      </w:rPr>
      <w:fldChar w:fldCharType="begin"/>
    </w:r>
    <w:r w:rsidR="00397A30" w:rsidRPr="00203F7F">
      <w:rPr>
        <w:rFonts w:cs="Arial"/>
        <w:b/>
        <w:sz w:val="20"/>
        <w:szCs w:val="20"/>
      </w:rPr>
      <w:instrText>NUMPAGES  \* Arabic  \* MERGEFORMAT</w:instrText>
    </w:r>
    <w:r w:rsidR="00397A30" w:rsidRPr="00203F7F">
      <w:rPr>
        <w:rFonts w:cs="Arial"/>
        <w:b/>
        <w:sz w:val="20"/>
        <w:szCs w:val="20"/>
      </w:rPr>
      <w:fldChar w:fldCharType="separate"/>
    </w:r>
    <w:r w:rsidR="00C7407D" w:rsidRPr="00203F7F">
      <w:rPr>
        <w:rFonts w:cs="Arial"/>
        <w:b/>
        <w:noProof/>
        <w:sz w:val="20"/>
        <w:szCs w:val="20"/>
      </w:rPr>
      <w:t>4</w:t>
    </w:r>
    <w:r w:rsidR="00397A30" w:rsidRPr="00203F7F">
      <w:rPr>
        <w:rFonts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57B9" w14:textId="7982BBFC" w:rsidR="00BC3D04" w:rsidRPr="00203F7F" w:rsidRDefault="00BC3D04" w:rsidP="00BC3D04">
    <w:pPr>
      <w:pStyle w:val="Fuzeile"/>
      <w:pBdr>
        <w:top w:val="single" w:sz="4" w:space="1" w:color="auto"/>
      </w:pBdr>
      <w:spacing w:line="276" w:lineRule="auto"/>
      <w:rPr>
        <w:rFonts w:cs="Arial"/>
        <w:sz w:val="20"/>
        <w:szCs w:val="20"/>
      </w:rPr>
    </w:pPr>
    <w:r w:rsidRPr="00203F7F">
      <w:rPr>
        <w:rFonts w:cs="Arial"/>
        <w:sz w:val="20"/>
        <w:szCs w:val="20"/>
      </w:rPr>
      <w:t xml:space="preserve">Dienstanweisung Gemeinde XXX </w:t>
    </w:r>
    <w:r w:rsidRPr="00203F7F">
      <w:rPr>
        <w:rFonts w:cs="Arial"/>
        <w:sz w:val="20"/>
        <w:szCs w:val="20"/>
      </w:rPr>
      <w:tab/>
    </w:r>
    <w:r w:rsidRPr="00203F7F">
      <w:rPr>
        <w:rFonts w:cs="Arial"/>
        <w:sz w:val="20"/>
        <w:szCs w:val="20"/>
      </w:rPr>
      <w:tab/>
      <w:t xml:space="preserve">Seite </w:t>
    </w:r>
    <w:r w:rsidRPr="00203F7F">
      <w:rPr>
        <w:rFonts w:cs="Arial"/>
        <w:b/>
        <w:sz w:val="20"/>
        <w:szCs w:val="20"/>
      </w:rPr>
      <w:fldChar w:fldCharType="begin"/>
    </w:r>
    <w:r w:rsidRPr="00203F7F">
      <w:rPr>
        <w:rFonts w:cs="Arial"/>
        <w:b/>
        <w:sz w:val="20"/>
        <w:szCs w:val="20"/>
      </w:rPr>
      <w:instrText>PAGE  \* Arabic  \* MERGEFORMAT</w:instrText>
    </w:r>
    <w:r w:rsidRPr="00203F7F">
      <w:rPr>
        <w:rFonts w:cs="Arial"/>
        <w:b/>
        <w:sz w:val="20"/>
        <w:szCs w:val="20"/>
      </w:rPr>
      <w:fldChar w:fldCharType="separate"/>
    </w:r>
    <w:r w:rsidRPr="00203F7F">
      <w:rPr>
        <w:rFonts w:cs="Arial"/>
        <w:b/>
        <w:sz w:val="20"/>
        <w:szCs w:val="20"/>
      </w:rPr>
      <w:t>2</w:t>
    </w:r>
    <w:r w:rsidRPr="00203F7F">
      <w:rPr>
        <w:rFonts w:cs="Arial"/>
        <w:b/>
        <w:sz w:val="20"/>
        <w:szCs w:val="20"/>
      </w:rPr>
      <w:fldChar w:fldCharType="end"/>
    </w:r>
    <w:r w:rsidRPr="00203F7F">
      <w:rPr>
        <w:rFonts w:cs="Arial"/>
        <w:sz w:val="20"/>
        <w:szCs w:val="20"/>
      </w:rPr>
      <w:t xml:space="preserve"> von </w:t>
    </w:r>
    <w:r w:rsidRPr="00203F7F">
      <w:rPr>
        <w:rFonts w:cs="Arial"/>
        <w:b/>
        <w:sz w:val="20"/>
        <w:szCs w:val="20"/>
      </w:rPr>
      <w:fldChar w:fldCharType="begin"/>
    </w:r>
    <w:r w:rsidRPr="00203F7F">
      <w:rPr>
        <w:rFonts w:cs="Arial"/>
        <w:b/>
        <w:sz w:val="20"/>
        <w:szCs w:val="20"/>
      </w:rPr>
      <w:instrText>NUMPAGES  \* Arabic  \* MERGEFORMAT</w:instrText>
    </w:r>
    <w:r w:rsidRPr="00203F7F">
      <w:rPr>
        <w:rFonts w:cs="Arial"/>
        <w:b/>
        <w:sz w:val="20"/>
        <w:szCs w:val="20"/>
      </w:rPr>
      <w:fldChar w:fldCharType="separate"/>
    </w:r>
    <w:r w:rsidRPr="00203F7F">
      <w:rPr>
        <w:rFonts w:cs="Arial"/>
        <w:b/>
        <w:sz w:val="20"/>
        <w:szCs w:val="20"/>
      </w:rPr>
      <w:t>5</w:t>
    </w:r>
    <w:r w:rsidRPr="00203F7F">
      <w:rPr>
        <w:rFonts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EECD" w14:textId="77777777" w:rsidR="00DC1DC5" w:rsidRDefault="00DC1DC5" w:rsidP="00D54056">
      <w:pPr>
        <w:spacing w:after="0" w:line="240" w:lineRule="auto"/>
      </w:pPr>
      <w:r>
        <w:separator/>
      </w:r>
    </w:p>
  </w:footnote>
  <w:footnote w:type="continuationSeparator" w:id="0">
    <w:p w14:paraId="21C8374F" w14:textId="77777777" w:rsidR="00DC1DC5" w:rsidRDefault="00DC1DC5" w:rsidP="00D54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70"/>
    <w:multiLevelType w:val="hybridMultilevel"/>
    <w:tmpl w:val="301269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4E6B90"/>
    <w:multiLevelType w:val="hybridMultilevel"/>
    <w:tmpl w:val="7F4E4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BD43FE"/>
    <w:multiLevelType w:val="hybridMultilevel"/>
    <w:tmpl w:val="72242B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AD431F"/>
    <w:multiLevelType w:val="hybridMultilevel"/>
    <w:tmpl w:val="961E8FE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8477CD"/>
    <w:multiLevelType w:val="hybridMultilevel"/>
    <w:tmpl w:val="65FE2D06"/>
    <w:lvl w:ilvl="0" w:tplc="0407000F">
      <w:start w:val="1"/>
      <w:numFmt w:val="decimal"/>
      <w:lvlText w:val="%1."/>
      <w:lvlJc w:val="left"/>
      <w:pPr>
        <w:ind w:left="-1434" w:hanging="360"/>
      </w:pPr>
      <w:rPr>
        <w:rFonts w:hint="default"/>
      </w:rPr>
    </w:lvl>
    <w:lvl w:ilvl="1" w:tplc="04070019">
      <w:start w:val="1"/>
      <w:numFmt w:val="lowerLetter"/>
      <w:lvlText w:val="%2."/>
      <w:lvlJc w:val="left"/>
      <w:pPr>
        <w:ind w:left="-714" w:hanging="360"/>
      </w:pPr>
    </w:lvl>
    <w:lvl w:ilvl="2" w:tplc="0407001B" w:tentative="1">
      <w:start w:val="1"/>
      <w:numFmt w:val="lowerRoman"/>
      <w:lvlText w:val="%3."/>
      <w:lvlJc w:val="right"/>
      <w:pPr>
        <w:ind w:left="6" w:hanging="180"/>
      </w:pPr>
    </w:lvl>
    <w:lvl w:ilvl="3" w:tplc="0407000F" w:tentative="1">
      <w:start w:val="1"/>
      <w:numFmt w:val="decimal"/>
      <w:lvlText w:val="%4."/>
      <w:lvlJc w:val="left"/>
      <w:pPr>
        <w:ind w:left="726" w:hanging="360"/>
      </w:pPr>
    </w:lvl>
    <w:lvl w:ilvl="4" w:tplc="04070019" w:tentative="1">
      <w:start w:val="1"/>
      <w:numFmt w:val="lowerLetter"/>
      <w:lvlText w:val="%5."/>
      <w:lvlJc w:val="left"/>
      <w:pPr>
        <w:ind w:left="1446" w:hanging="360"/>
      </w:pPr>
    </w:lvl>
    <w:lvl w:ilvl="5" w:tplc="0407001B" w:tentative="1">
      <w:start w:val="1"/>
      <w:numFmt w:val="lowerRoman"/>
      <w:lvlText w:val="%6."/>
      <w:lvlJc w:val="right"/>
      <w:pPr>
        <w:ind w:left="2166" w:hanging="180"/>
      </w:pPr>
    </w:lvl>
    <w:lvl w:ilvl="6" w:tplc="0407000F" w:tentative="1">
      <w:start w:val="1"/>
      <w:numFmt w:val="decimal"/>
      <w:lvlText w:val="%7."/>
      <w:lvlJc w:val="left"/>
      <w:pPr>
        <w:ind w:left="2886" w:hanging="360"/>
      </w:pPr>
    </w:lvl>
    <w:lvl w:ilvl="7" w:tplc="04070019" w:tentative="1">
      <w:start w:val="1"/>
      <w:numFmt w:val="lowerLetter"/>
      <w:lvlText w:val="%8."/>
      <w:lvlJc w:val="left"/>
      <w:pPr>
        <w:ind w:left="3606" w:hanging="360"/>
      </w:pPr>
    </w:lvl>
    <w:lvl w:ilvl="8" w:tplc="0407001B" w:tentative="1">
      <w:start w:val="1"/>
      <w:numFmt w:val="lowerRoman"/>
      <w:lvlText w:val="%9."/>
      <w:lvlJc w:val="right"/>
      <w:pPr>
        <w:ind w:left="4326" w:hanging="180"/>
      </w:pPr>
    </w:lvl>
  </w:abstractNum>
  <w:abstractNum w:abstractNumId="5" w15:restartNumberingAfterBreak="0">
    <w:nsid w:val="35AC3FC7"/>
    <w:multiLevelType w:val="hybridMultilevel"/>
    <w:tmpl w:val="D606392E"/>
    <w:lvl w:ilvl="0" w:tplc="68DC44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0657CE"/>
    <w:multiLevelType w:val="hybridMultilevel"/>
    <w:tmpl w:val="600C4B2C"/>
    <w:lvl w:ilvl="0" w:tplc="CF6040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A26ECE"/>
    <w:multiLevelType w:val="hybridMultilevel"/>
    <w:tmpl w:val="65FE2D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685DF5"/>
    <w:multiLevelType w:val="hybridMultilevel"/>
    <w:tmpl w:val="AA5E77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D1E112D"/>
    <w:multiLevelType w:val="hybridMultilevel"/>
    <w:tmpl w:val="EC48321C"/>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630384"/>
    <w:multiLevelType w:val="hybridMultilevel"/>
    <w:tmpl w:val="0C4E6A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ED38B2"/>
    <w:multiLevelType w:val="hybridMultilevel"/>
    <w:tmpl w:val="A066D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BA2BCC"/>
    <w:multiLevelType w:val="hybridMultilevel"/>
    <w:tmpl w:val="B7CA362E"/>
    <w:lvl w:ilvl="0" w:tplc="978A1AA6">
      <w:start w:val="1"/>
      <w:numFmt w:val="decimal"/>
      <w:pStyle w:val="Standard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2158901">
    <w:abstractNumId w:val="4"/>
  </w:num>
  <w:num w:numId="2" w16cid:durableId="242028353">
    <w:abstractNumId w:val="1"/>
  </w:num>
  <w:num w:numId="3" w16cid:durableId="6493839">
    <w:abstractNumId w:val="7"/>
  </w:num>
  <w:num w:numId="4" w16cid:durableId="1034505384">
    <w:abstractNumId w:val="6"/>
  </w:num>
  <w:num w:numId="5" w16cid:durableId="922449639">
    <w:abstractNumId w:val="5"/>
  </w:num>
  <w:num w:numId="6" w16cid:durableId="2129927982">
    <w:abstractNumId w:val="0"/>
  </w:num>
  <w:num w:numId="7" w16cid:durableId="1883592632">
    <w:abstractNumId w:val="11"/>
  </w:num>
  <w:num w:numId="8" w16cid:durableId="738598519">
    <w:abstractNumId w:val="9"/>
  </w:num>
  <w:num w:numId="9" w16cid:durableId="429813207">
    <w:abstractNumId w:val="3"/>
  </w:num>
  <w:num w:numId="10" w16cid:durableId="997654582">
    <w:abstractNumId w:val="8"/>
  </w:num>
  <w:num w:numId="11" w16cid:durableId="1829707903">
    <w:abstractNumId w:val="10"/>
  </w:num>
  <w:num w:numId="12" w16cid:durableId="482351246">
    <w:abstractNumId w:val="2"/>
  </w:num>
  <w:num w:numId="13" w16cid:durableId="1792943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06"/>
    <w:rsid w:val="00037730"/>
    <w:rsid w:val="00040FDB"/>
    <w:rsid w:val="00072890"/>
    <w:rsid w:val="00083068"/>
    <w:rsid w:val="000928FD"/>
    <w:rsid w:val="00093E63"/>
    <w:rsid w:val="000A0514"/>
    <w:rsid w:val="000B7E13"/>
    <w:rsid w:val="001029F9"/>
    <w:rsid w:val="0011038D"/>
    <w:rsid w:val="00123EB8"/>
    <w:rsid w:val="001659C2"/>
    <w:rsid w:val="001D6B80"/>
    <w:rsid w:val="001E0A01"/>
    <w:rsid w:val="001F7166"/>
    <w:rsid w:val="00203F7F"/>
    <w:rsid w:val="0020541E"/>
    <w:rsid w:val="0024302B"/>
    <w:rsid w:val="00282D4F"/>
    <w:rsid w:val="00296AC7"/>
    <w:rsid w:val="002B4433"/>
    <w:rsid w:val="002D2241"/>
    <w:rsid w:val="002E0A0D"/>
    <w:rsid w:val="002F752A"/>
    <w:rsid w:val="0032060A"/>
    <w:rsid w:val="0035618C"/>
    <w:rsid w:val="00397A30"/>
    <w:rsid w:val="003B63D4"/>
    <w:rsid w:val="003F2EED"/>
    <w:rsid w:val="004134EC"/>
    <w:rsid w:val="00424A04"/>
    <w:rsid w:val="00445007"/>
    <w:rsid w:val="00486CD1"/>
    <w:rsid w:val="004946FC"/>
    <w:rsid w:val="004E6EA2"/>
    <w:rsid w:val="00525786"/>
    <w:rsid w:val="005541CE"/>
    <w:rsid w:val="005A1876"/>
    <w:rsid w:val="005C72C8"/>
    <w:rsid w:val="005E315D"/>
    <w:rsid w:val="00677075"/>
    <w:rsid w:val="0068611C"/>
    <w:rsid w:val="00691C71"/>
    <w:rsid w:val="006A3DC4"/>
    <w:rsid w:val="006D632A"/>
    <w:rsid w:val="006E01D7"/>
    <w:rsid w:val="006E3EE1"/>
    <w:rsid w:val="00716912"/>
    <w:rsid w:val="007369CC"/>
    <w:rsid w:val="00747B1E"/>
    <w:rsid w:val="00757982"/>
    <w:rsid w:val="00760BFE"/>
    <w:rsid w:val="007E7BA9"/>
    <w:rsid w:val="008054C8"/>
    <w:rsid w:val="00807512"/>
    <w:rsid w:val="00826294"/>
    <w:rsid w:val="00836BCA"/>
    <w:rsid w:val="00853B9B"/>
    <w:rsid w:val="008667ED"/>
    <w:rsid w:val="008A6863"/>
    <w:rsid w:val="00A00EAE"/>
    <w:rsid w:val="00A6748A"/>
    <w:rsid w:val="00AB1A1C"/>
    <w:rsid w:val="00AD2FDD"/>
    <w:rsid w:val="00B46177"/>
    <w:rsid w:val="00B621D2"/>
    <w:rsid w:val="00B629FC"/>
    <w:rsid w:val="00B80A06"/>
    <w:rsid w:val="00BC3D04"/>
    <w:rsid w:val="00BD5BBF"/>
    <w:rsid w:val="00BF3E3F"/>
    <w:rsid w:val="00C26839"/>
    <w:rsid w:val="00C356BE"/>
    <w:rsid w:val="00C41FB4"/>
    <w:rsid w:val="00C7407D"/>
    <w:rsid w:val="00CB0C98"/>
    <w:rsid w:val="00CE6738"/>
    <w:rsid w:val="00D54056"/>
    <w:rsid w:val="00D57DE6"/>
    <w:rsid w:val="00D71E01"/>
    <w:rsid w:val="00DC1DC5"/>
    <w:rsid w:val="00DF4D62"/>
    <w:rsid w:val="00E22B60"/>
    <w:rsid w:val="00E41298"/>
    <w:rsid w:val="00E41DCA"/>
    <w:rsid w:val="00E5588A"/>
    <w:rsid w:val="00E67131"/>
    <w:rsid w:val="00E728EB"/>
    <w:rsid w:val="00E96C5F"/>
    <w:rsid w:val="00EF18AC"/>
    <w:rsid w:val="00F55276"/>
    <w:rsid w:val="00F73317"/>
    <w:rsid w:val="00FB155E"/>
    <w:rsid w:val="00FF0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A7404"/>
  <w15:docId w15:val="{54F8A5E6-8C5B-4B00-9ABF-61B547FC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11C"/>
    <w:pPr>
      <w:spacing w:before="240" w:after="240"/>
    </w:pPr>
    <w:rPr>
      <w:rFonts w:ascii="Arial" w:hAnsi="Arial"/>
    </w:rPr>
  </w:style>
  <w:style w:type="paragraph" w:styleId="berschrift1">
    <w:name w:val="heading 1"/>
    <w:basedOn w:val="Standard"/>
    <w:next w:val="Standard"/>
    <w:link w:val="berschrift1Zchn"/>
    <w:uiPriority w:val="9"/>
    <w:qFormat/>
    <w:rsid w:val="00040FDB"/>
    <w:pPr>
      <w:keepNext/>
      <w:keepLines/>
      <w:spacing w:before="480"/>
      <w:outlineLvl w:val="0"/>
    </w:pPr>
    <w:rPr>
      <w:rFonts w:eastAsiaTheme="majorEastAsia" w:cstheme="majorBidi"/>
      <w:b/>
      <w:bCs/>
      <w:color w:val="0A2860"/>
      <w:sz w:val="24"/>
      <w:szCs w:val="28"/>
    </w:rPr>
  </w:style>
  <w:style w:type="paragraph" w:styleId="berschrift2">
    <w:name w:val="heading 2"/>
    <w:basedOn w:val="Standard"/>
    <w:next w:val="Standard"/>
    <w:link w:val="berschrift2Zchn"/>
    <w:uiPriority w:val="9"/>
    <w:unhideWhenUsed/>
    <w:rsid w:val="00807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B80A06"/>
    <w:pPr>
      <w:ind w:left="720"/>
      <w:contextualSpacing/>
    </w:pPr>
  </w:style>
  <w:style w:type="paragraph" w:styleId="Sprechblasentext">
    <w:name w:val="Balloon Text"/>
    <w:basedOn w:val="Standard"/>
    <w:link w:val="SprechblasentextZchn"/>
    <w:uiPriority w:val="99"/>
    <w:semiHidden/>
    <w:unhideWhenUsed/>
    <w:rsid w:val="005E31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315D"/>
    <w:rPr>
      <w:rFonts w:ascii="Tahoma" w:hAnsi="Tahoma" w:cs="Tahoma"/>
      <w:sz w:val="16"/>
      <w:szCs w:val="16"/>
    </w:rPr>
  </w:style>
  <w:style w:type="character" w:customStyle="1" w:styleId="berschrift2Zchn">
    <w:name w:val="Überschrift 2 Zchn"/>
    <w:basedOn w:val="Absatz-Standardschriftart"/>
    <w:link w:val="berschrift2"/>
    <w:uiPriority w:val="9"/>
    <w:rsid w:val="00807512"/>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040FDB"/>
    <w:rPr>
      <w:rFonts w:ascii="Arial" w:eastAsiaTheme="majorEastAsia" w:hAnsi="Arial" w:cstheme="majorBidi"/>
      <w:b/>
      <w:bCs/>
      <w:color w:val="0A2860"/>
      <w:sz w:val="24"/>
      <w:szCs w:val="28"/>
    </w:rPr>
  </w:style>
  <w:style w:type="paragraph" w:styleId="Kopfzeile">
    <w:name w:val="header"/>
    <w:basedOn w:val="Standard"/>
    <w:link w:val="KopfzeileZchn"/>
    <w:uiPriority w:val="99"/>
    <w:unhideWhenUsed/>
    <w:rsid w:val="00D540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4056"/>
  </w:style>
  <w:style w:type="paragraph" w:styleId="Fuzeile">
    <w:name w:val="footer"/>
    <w:basedOn w:val="Standard"/>
    <w:link w:val="FuzeileZchn"/>
    <w:uiPriority w:val="99"/>
    <w:unhideWhenUsed/>
    <w:rsid w:val="00D540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4056"/>
  </w:style>
  <w:style w:type="paragraph" w:customStyle="1" w:styleId="1">
    <w:name w:val="Ü1"/>
    <w:basedOn w:val="berschrift1"/>
    <w:link w:val="1Zchn"/>
    <w:rsid w:val="00397A30"/>
    <w:pPr>
      <w:shd w:val="clear" w:color="auto" w:fill="D9D9D9" w:themeFill="background1" w:themeFillShade="D9"/>
    </w:pPr>
    <w:rPr>
      <w:rFonts w:cs="Arial"/>
    </w:rPr>
  </w:style>
  <w:style w:type="character" w:styleId="Fett">
    <w:name w:val="Strong"/>
    <w:basedOn w:val="Absatz-Standardschriftart"/>
    <w:uiPriority w:val="22"/>
    <w:rsid w:val="001029F9"/>
    <w:rPr>
      <w:b/>
      <w:bCs/>
    </w:rPr>
  </w:style>
  <w:style w:type="character" w:customStyle="1" w:styleId="1Zchn">
    <w:name w:val="Ü1 Zchn"/>
    <w:basedOn w:val="berschrift1Zchn"/>
    <w:link w:val="1"/>
    <w:rsid w:val="00397A30"/>
    <w:rPr>
      <w:rFonts w:ascii="Arial" w:eastAsiaTheme="majorEastAsia" w:hAnsi="Arial" w:cs="Arial"/>
      <w:b/>
      <w:bCs/>
      <w:color w:val="365F91" w:themeColor="accent1" w:themeShade="BF"/>
      <w:sz w:val="28"/>
      <w:szCs w:val="28"/>
      <w:shd w:val="clear" w:color="auto" w:fill="D9D9D9" w:themeFill="background1" w:themeFillShade="D9"/>
    </w:rPr>
  </w:style>
  <w:style w:type="paragraph" w:styleId="Zitat">
    <w:name w:val="Quote"/>
    <w:basedOn w:val="Standard"/>
    <w:next w:val="Standard"/>
    <w:link w:val="ZitatZchn"/>
    <w:uiPriority w:val="29"/>
    <w:rsid w:val="001029F9"/>
    <w:rPr>
      <w:i/>
      <w:iCs/>
      <w:color w:val="000000" w:themeColor="text1"/>
    </w:rPr>
  </w:style>
  <w:style w:type="character" w:customStyle="1" w:styleId="ZitatZchn">
    <w:name w:val="Zitat Zchn"/>
    <w:basedOn w:val="Absatz-Standardschriftart"/>
    <w:link w:val="Zitat"/>
    <w:uiPriority w:val="29"/>
    <w:rsid w:val="001029F9"/>
    <w:rPr>
      <w:i/>
      <w:iCs/>
      <w:color w:val="000000" w:themeColor="text1"/>
    </w:rPr>
  </w:style>
  <w:style w:type="paragraph" w:styleId="Inhaltsverzeichnisberschrift">
    <w:name w:val="TOC Heading"/>
    <w:basedOn w:val="berschrift1"/>
    <w:next w:val="Standard"/>
    <w:uiPriority w:val="39"/>
    <w:unhideWhenUsed/>
    <w:qFormat/>
    <w:rsid w:val="001029F9"/>
    <w:pPr>
      <w:outlineLvl w:val="9"/>
    </w:pPr>
    <w:rPr>
      <w:lang w:eastAsia="de-DE"/>
    </w:rPr>
  </w:style>
  <w:style w:type="paragraph" w:styleId="Verzeichnis1">
    <w:name w:val="toc 1"/>
    <w:basedOn w:val="Standard"/>
    <w:next w:val="Standard"/>
    <w:autoRedefine/>
    <w:uiPriority w:val="39"/>
    <w:unhideWhenUsed/>
    <w:rsid w:val="001029F9"/>
    <w:pPr>
      <w:spacing w:after="100"/>
    </w:pPr>
  </w:style>
  <w:style w:type="character" w:styleId="Hyperlink">
    <w:name w:val="Hyperlink"/>
    <w:basedOn w:val="Absatz-Standardschriftart"/>
    <w:uiPriority w:val="99"/>
    <w:unhideWhenUsed/>
    <w:rsid w:val="001029F9"/>
    <w:rPr>
      <w:color w:val="0000FF" w:themeColor="hyperlink"/>
      <w:u w:val="single"/>
    </w:rPr>
  </w:style>
  <w:style w:type="paragraph" w:styleId="Verzeichnis2">
    <w:name w:val="toc 2"/>
    <w:basedOn w:val="Standard"/>
    <w:next w:val="Standard"/>
    <w:autoRedefine/>
    <w:uiPriority w:val="39"/>
    <w:unhideWhenUsed/>
    <w:rsid w:val="001029F9"/>
    <w:pPr>
      <w:spacing w:after="100"/>
      <w:ind w:left="220"/>
    </w:pPr>
    <w:rPr>
      <w:rFonts w:eastAsiaTheme="minorEastAsia"/>
      <w:lang w:eastAsia="de-DE"/>
    </w:rPr>
  </w:style>
  <w:style w:type="paragraph" w:styleId="Verzeichnis3">
    <w:name w:val="toc 3"/>
    <w:basedOn w:val="Standard"/>
    <w:next w:val="Standard"/>
    <w:autoRedefine/>
    <w:uiPriority w:val="39"/>
    <w:semiHidden/>
    <w:unhideWhenUsed/>
    <w:qFormat/>
    <w:rsid w:val="001029F9"/>
    <w:pPr>
      <w:spacing w:after="100"/>
      <w:ind w:left="440"/>
    </w:pPr>
    <w:rPr>
      <w:rFonts w:eastAsiaTheme="minorEastAsia"/>
      <w:lang w:eastAsia="de-DE"/>
    </w:rPr>
  </w:style>
  <w:style w:type="paragraph" w:styleId="StandardWeb">
    <w:name w:val="Normal (Web)"/>
    <w:basedOn w:val="Standard"/>
    <w:uiPriority w:val="99"/>
    <w:semiHidden/>
    <w:unhideWhenUsed/>
    <w:rsid w:val="002430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rsid w:val="0024302B"/>
    <w:rPr>
      <w:i/>
      <w:iCs/>
    </w:rPr>
  </w:style>
  <w:style w:type="table" w:styleId="Tabellenraster">
    <w:name w:val="Table Grid"/>
    <w:basedOn w:val="NormaleTabelle"/>
    <w:uiPriority w:val="59"/>
    <w:rsid w:val="00826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86CD1"/>
    <w:rPr>
      <w:color w:val="605E5C"/>
      <w:shd w:val="clear" w:color="auto" w:fill="E1DFDD"/>
    </w:rPr>
  </w:style>
  <w:style w:type="character" w:styleId="BesuchterLink">
    <w:name w:val="FollowedHyperlink"/>
    <w:basedOn w:val="Absatz-Standardschriftart"/>
    <w:uiPriority w:val="99"/>
    <w:semiHidden/>
    <w:unhideWhenUsed/>
    <w:rsid w:val="00040FDB"/>
    <w:rPr>
      <w:color w:val="800080" w:themeColor="followedHyperlink"/>
      <w:u w:val="single"/>
    </w:rPr>
  </w:style>
  <w:style w:type="paragraph" w:customStyle="1" w:styleId="StandardNummerierung">
    <w:name w:val="Standard Nummerierung"/>
    <w:basedOn w:val="Standard"/>
    <w:link w:val="StandardNummerierungZchn"/>
    <w:qFormat/>
    <w:rsid w:val="0068611C"/>
    <w:pPr>
      <w:numPr>
        <w:numId w:val="13"/>
      </w:numPr>
      <w:ind w:left="714" w:hanging="357"/>
      <w:jc w:val="both"/>
    </w:pPr>
  </w:style>
  <w:style w:type="character" w:customStyle="1" w:styleId="StandardNummerierungZchn">
    <w:name w:val="Standard Nummerierung Zchn"/>
    <w:basedOn w:val="Absatz-Standardschriftart"/>
    <w:link w:val="StandardNummerierung"/>
    <w:rsid w:val="006861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38530">
      <w:bodyDiv w:val="1"/>
      <w:marLeft w:val="0"/>
      <w:marRight w:val="0"/>
      <w:marTop w:val="0"/>
      <w:marBottom w:val="0"/>
      <w:divBdr>
        <w:top w:val="none" w:sz="0" w:space="0" w:color="auto"/>
        <w:left w:val="none" w:sz="0" w:space="0" w:color="auto"/>
        <w:bottom w:val="none" w:sz="0" w:space="0" w:color="auto"/>
        <w:right w:val="none" w:sz="0" w:space="0" w:color="auto"/>
      </w:divBdr>
    </w:div>
    <w:div w:id="49618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da.bayern.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BC3B-8EC8-4FF9-A4BC-B8825DD6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915</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Dienstanweisung für Gemeinden</vt:lpstr>
    </vt:vector>
  </TitlesOfParts>
  <Company>keine</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Dienstanweisung für Gemeinden</dc:title>
  <dc:creator>Frank Reich</dc:creator>
  <cp:lastModifiedBy>Kollien Ulla</cp:lastModifiedBy>
  <cp:revision>2</cp:revision>
  <cp:lastPrinted>2023-08-15T12:57:00Z</cp:lastPrinted>
  <dcterms:created xsi:type="dcterms:W3CDTF">2023-08-16T18:23:00Z</dcterms:created>
  <dcterms:modified xsi:type="dcterms:W3CDTF">2023-08-16T18:23:00Z</dcterms:modified>
</cp:coreProperties>
</file>